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964" w:rsidRPr="00A827E0" w:rsidRDefault="00081964">
      <w:pPr>
        <w:rPr>
          <w:b/>
          <w:i/>
        </w:rPr>
      </w:pPr>
      <w:r w:rsidRPr="00A827E0">
        <w:rPr>
          <w:b/>
        </w:rPr>
        <w:t xml:space="preserve">Priestly </w:t>
      </w:r>
      <w:r w:rsidR="002C610B" w:rsidRPr="00A827E0">
        <w:rPr>
          <w:b/>
        </w:rPr>
        <w:t>Service and Sacrifice</w:t>
      </w:r>
      <w:r w:rsidRPr="00A827E0">
        <w:rPr>
          <w:b/>
        </w:rPr>
        <w:t xml:space="preserve"> of the</w:t>
      </w:r>
      <w:r w:rsidR="002C610B" w:rsidRPr="00A827E0">
        <w:rPr>
          <w:b/>
        </w:rPr>
        <w:t xml:space="preserve"> Faithful in St. Peter </w:t>
      </w:r>
      <w:proofErr w:type="spellStart"/>
      <w:r w:rsidR="002C610B" w:rsidRPr="00A827E0">
        <w:rPr>
          <w:b/>
        </w:rPr>
        <w:t>Chrysologus</w:t>
      </w:r>
      <w:proofErr w:type="spellEnd"/>
    </w:p>
    <w:p w:rsidR="00081964" w:rsidRDefault="009E2F8D">
      <w:r>
        <w:t xml:space="preserve">St. Peter </w:t>
      </w:r>
      <w:proofErr w:type="spellStart"/>
      <w:r>
        <w:t>Chrysologus</w:t>
      </w:r>
      <w:proofErr w:type="spellEnd"/>
      <w:r>
        <w:t>, 5</w:t>
      </w:r>
      <w:r w:rsidRPr="009E2F8D">
        <w:rPr>
          <w:vertAlign w:val="superscript"/>
        </w:rPr>
        <w:t>th</w:t>
      </w:r>
      <w:r>
        <w:t xml:space="preserve"> Century bishop of Ravenna and doctor of the Church, ex</w:t>
      </w:r>
      <w:r w:rsidR="009D1938">
        <w:t>tended</w:t>
      </w:r>
      <w:r>
        <w:t xml:space="preserve"> an earlier Patristic tradition which understood the laity as participating in the priestly sacrifice and service of Christ.  This paper explores some aspects of this earlier tradition, follo</w:t>
      </w:r>
      <w:r w:rsidR="009D1938">
        <w:t>wed by an</w:t>
      </w:r>
      <w:r>
        <w:t xml:space="preserve"> analysis of </w:t>
      </w:r>
      <w:proofErr w:type="spellStart"/>
      <w:r>
        <w:t>Chrysologus</w:t>
      </w:r>
      <w:proofErr w:type="spellEnd"/>
      <w:r>
        <w:t>’ expanded development: “Be, O man, be both a sacrifice to God and a priest.” (</w:t>
      </w:r>
      <w:proofErr w:type="spellStart"/>
      <w:r>
        <w:t>Chrysologus</w:t>
      </w:r>
      <w:proofErr w:type="spellEnd"/>
      <w:r>
        <w:t xml:space="preserve">, </w:t>
      </w:r>
      <w:proofErr w:type="spellStart"/>
      <w:r>
        <w:t>Sermo</w:t>
      </w:r>
      <w:proofErr w:type="spellEnd"/>
      <w:r>
        <w:t xml:space="preserve"> 108</w:t>
      </w:r>
      <w:r w:rsidR="009D1938">
        <w:t xml:space="preserve"> on Rom 12:1</w:t>
      </w:r>
      <w:r>
        <w:t>)</w:t>
      </w:r>
    </w:p>
    <w:p w:rsidR="00582A74" w:rsidRPr="00582A74" w:rsidRDefault="00357501" w:rsidP="00582A74">
      <w:r>
        <w:tab/>
        <w:t>In pagan antiquity, the priest offered worship</w:t>
      </w:r>
      <w:r w:rsidR="00416D94">
        <w:t xml:space="preserve"> at local temples</w:t>
      </w:r>
      <w:r>
        <w:t xml:space="preserve">, </w:t>
      </w:r>
      <w:r w:rsidR="00416D94">
        <w:t>usually</w:t>
      </w:r>
      <w:r>
        <w:t xml:space="preserve"> in the form of a living sacrifice, </w:t>
      </w:r>
      <w:r w:rsidR="00587436">
        <w:t>to many</w:t>
      </w:r>
      <w:r>
        <w:t xml:space="preserve"> gods on behalf of </w:t>
      </w:r>
      <w:r w:rsidR="00416D94">
        <w:t>diverse</w:t>
      </w:r>
      <w:r>
        <w:t xml:space="preserve"> people.  </w:t>
      </w:r>
      <w:r w:rsidR="00587436">
        <w:t>A</w:t>
      </w:r>
      <w:r>
        <w:t xml:space="preserve">ncient Israel understood the priestly function primarily to offer sacrifice to </w:t>
      </w:r>
      <w:r w:rsidR="00416D94">
        <w:t xml:space="preserve">the one </w:t>
      </w:r>
      <w:r>
        <w:t xml:space="preserve">God </w:t>
      </w:r>
      <w:r w:rsidR="00416D94">
        <w:t xml:space="preserve">at the one Temple in Jerusalem </w:t>
      </w:r>
      <w:r>
        <w:t xml:space="preserve">on behalf of the </w:t>
      </w:r>
      <w:r w:rsidR="00416D94">
        <w:t xml:space="preserve">God’s one chosen people, the </w:t>
      </w:r>
      <w:r>
        <w:t xml:space="preserve">people Israel.  As the Gospels and St. Paul make clear, Jesus unites in </w:t>
      </w:r>
      <w:r w:rsidR="00582A74">
        <w:t>H</w:t>
      </w:r>
      <w:r>
        <w:t>imself all three</w:t>
      </w:r>
      <w:r w:rsidR="00416D94">
        <w:t xml:space="preserve"> aspects of worship:</w:t>
      </w:r>
      <w:r>
        <w:t xml:space="preserve"> temple, priest and sacrifice (</w:t>
      </w:r>
      <w:proofErr w:type="spellStart"/>
      <w:r>
        <w:t>iereus</w:t>
      </w:r>
      <w:proofErr w:type="spellEnd"/>
      <w:r>
        <w:t>)</w:t>
      </w:r>
      <w:r w:rsidR="00416D94">
        <w:t>.</w:t>
      </w:r>
      <w:r w:rsidR="00582A74">
        <w:t xml:space="preserve">  Those who live and die in His Name are likewise transformed by the unity He bring: a Christian’s body as a participation in the new Temple; a Christian’s life now a participation in the royal priesthood of Christ, and a Christian’s life and death as a participation in the sacrifice of Christ</w:t>
      </w:r>
      <w:r w:rsidR="00CE3507">
        <w:t xml:space="preserve"> for the sake of His kingdom</w:t>
      </w:r>
      <w:r w:rsidR="00582A74">
        <w:t xml:space="preserve">. </w:t>
      </w:r>
    </w:p>
    <w:p w:rsidR="00582A74" w:rsidRDefault="00582A74" w:rsidP="00582A74">
      <w:r>
        <w:rPr>
          <w:b/>
        </w:rPr>
        <w:tab/>
      </w:r>
      <w:r w:rsidRPr="00582A74">
        <w:t>Thus, t</w:t>
      </w:r>
      <w:r>
        <w:t xml:space="preserve">he baptismal anointing is an anointing into kingly and priestly offices.  St Peter’s clear statement of this in 1 </w:t>
      </w:r>
      <w:proofErr w:type="gramStart"/>
      <w:r>
        <w:t>Pt ,</w:t>
      </w:r>
      <w:proofErr w:type="gramEnd"/>
      <w:r>
        <w:t xml:space="preserve"> with his own reference to Ex 29 formed the Scriptural basis for Patristic understanding of the priestly office of the lay faithful.  However, the Church Fathers often turned to St. Paul and his Letter to the Romans to explicate how this priestly office of the faithful was to be lived. The Church Fathers understood the key link between Peter and Paul as the link between priest and sacrifice; the lay are a </w:t>
      </w:r>
      <w:r>
        <w:rPr>
          <w:i/>
        </w:rPr>
        <w:t>royal priesthood</w:t>
      </w:r>
      <w:r>
        <w:t xml:space="preserve"> precisely because they have been anointed into the sacrificial service of Christ, as St. Paul exhorts </w:t>
      </w:r>
      <w:r>
        <w:rPr>
          <w:i/>
        </w:rPr>
        <w:t xml:space="preserve">present your bodies as a living sacrifice, holy and acceptable to God, which is your spiritual worship </w:t>
      </w:r>
      <w:r>
        <w:t xml:space="preserve">(Rom 12:1). </w:t>
      </w:r>
    </w:p>
    <w:p w:rsidR="00E07D71" w:rsidRDefault="00E07D71">
      <w:pPr>
        <w:rPr>
          <w:b/>
        </w:rPr>
      </w:pPr>
    </w:p>
    <w:p w:rsidR="009D1938" w:rsidRDefault="0056796C">
      <w:pPr>
        <w:rPr>
          <w:b/>
        </w:rPr>
      </w:pPr>
      <w:r>
        <w:rPr>
          <w:b/>
        </w:rPr>
        <w:t xml:space="preserve">Martyrdom and </w:t>
      </w:r>
      <w:r w:rsidR="009D1938">
        <w:rPr>
          <w:b/>
        </w:rPr>
        <w:t>Pre-</w:t>
      </w:r>
      <w:proofErr w:type="spellStart"/>
      <w:r w:rsidR="009D1938">
        <w:rPr>
          <w:b/>
        </w:rPr>
        <w:t>Constantinian</w:t>
      </w:r>
      <w:proofErr w:type="spellEnd"/>
      <w:r w:rsidR="009D1938">
        <w:rPr>
          <w:b/>
        </w:rPr>
        <w:t xml:space="preserve"> Tradition</w:t>
      </w:r>
    </w:p>
    <w:p w:rsidR="00A6169C" w:rsidRDefault="00A6169C" w:rsidP="00A6169C">
      <w:pPr>
        <w:ind w:firstLine="720"/>
      </w:pPr>
      <w:r>
        <w:t>During the time of martyrdom, faithful Christians literally expected that they might be called upon to offer their own bodies as a sacrifice for the sake of the Name.</w:t>
      </w:r>
      <w:r w:rsidR="008F423B">
        <w:t xml:space="preserve">  As early as the Book of Revelation, Christian martyrs are identified as those most worthy to offer the eternal celestial worship because of their earthly sacrifice.  </w:t>
      </w:r>
    </w:p>
    <w:p w:rsidR="001969DF" w:rsidRDefault="00A827E0" w:rsidP="00A827E0">
      <w:pPr>
        <w:ind w:firstLine="720"/>
      </w:pPr>
      <w:r>
        <w:t xml:space="preserve">A martyr’s sacrifice did not have to be unto death, but only a willingness to accept death while suffering for the faith.  Thus it became common practice to honor and revere as ‘saints’ those who managed to survive their times of suffering.  They were often greeted among their Christian neighbors with the ability to forgive sins.  </w:t>
      </w:r>
      <w:proofErr w:type="spellStart"/>
      <w:r w:rsidR="001969DF">
        <w:t>Hipplolytus</w:t>
      </w:r>
      <w:proofErr w:type="spellEnd"/>
      <w:r w:rsidR="001969DF">
        <w:t xml:space="preserve"> suggests that those who suffered for the faith need not have hands laid on them to be recognized as a deacon or presbyter</w:t>
      </w:r>
      <w:r>
        <w:t>, as long as their witness included physical suffering</w:t>
      </w:r>
      <w:r w:rsidR="001969DF">
        <w:t xml:space="preserve">. </w:t>
      </w:r>
      <w:proofErr w:type="gramStart"/>
      <w:r w:rsidR="001969DF">
        <w:t xml:space="preserve">“For he has the office of the </w:t>
      </w:r>
      <w:proofErr w:type="spellStart"/>
      <w:r w:rsidR="001969DF">
        <w:t>presbyterate</w:t>
      </w:r>
      <w:proofErr w:type="spellEnd"/>
      <w:r w:rsidR="001969DF">
        <w:t xml:space="preserve"> by his confession.”</w:t>
      </w:r>
      <w:proofErr w:type="gramEnd"/>
      <w:r w:rsidR="001969DF">
        <w:rPr>
          <w:rStyle w:val="FootnoteReference"/>
        </w:rPr>
        <w:footnoteReference w:id="1"/>
      </w:r>
    </w:p>
    <w:p w:rsidR="007C5976" w:rsidRDefault="003D58F2" w:rsidP="00A6169C">
      <w:pPr>
        <w:ind w:firstLine="720"/>
      </w:pPr>
      <w:r>
        <w:lastRenderedPageBreak/>
        <w:t xml:space="preserve">For example, </w:t>
      </w:r>
      <w:r w:rsidR="007C5976">
        <w:t>Origen describes the transformation of the ancient priestly sacrifice of Israel</w:t>
      </w:r>
      <w:r>
        <w:t xml:space="preserve"> into</w:t>
      </w:r>
      <w:r w:rsidR="007C5976">
        <w:t xml:space="preserve"> the new priestly sacrifice of the Christian faithful.  In Homily 1 on Leviticus, Origen reinterprets Lev 1:3</w:t>
      </w:r>
      <w:r w:rsidR="0052214F">
        <w:t>-9</w:t>
      </w:r>
      <w:r w:rsidR="007C5976">
        <w:t xml:space="preserve"> in the light of Rom 12:1:</w:t>
      </w:r>
    </w:p>
    <w:p w:rsidR="007C5976" w:rsidRDefault="007C5976" w:rsidP="003D58F2">
      <w:pPr>
        <w:ind w:left="720"/>
      </w:pPr>
      <w:r>
        <w:t xml:space="preserve">The priests and his sons is in you the mind which is also its understanding in you which is rightly called a priest and “sons of a priest” for they are the only ones </w:t>
      </w:r>
      <w:r w:rsidR="0052214F">
        <w:t xml:space="preserve">who perceive God and are capable of the knowledge of God.  Therefore the divine Word desires that you offer your flesh to God in purity with reasonable understanding, as the Apostle says, “A living offering holy and pleasing to God, your reasonable service.” (Rom 12:1) </w:t>
      </w:r>
    </w:p>
    <w:p w:rsidR="002C610B" w:rsidRDefault="00AF0518" w:rsidP="00AF0518">
      <w:pPr>
        <w:ind w:firstLine="720"/>
      </w:pPr>
      <w:r>
        <w:t xml:space="preserve">The participation by the martyrs in Christ’s original unifying </w:t>
      </w:r>
      <w:r w:rsidR="003F1E3D">
        <w:t>sacrifice</w:t>
      </w:r>
      <w:r>
        <w:t xml:space="preserve"> is also seen as extending to a participation in the continuing Eucharistic sacrifice.  </w:t>
      </w:r>
      <w:r w:rsidR="00DB153F">
        <w:t xml:space="preserve">Through his analysis of early Christian literature (e.g. the Letters of Ignatius, the Martyrdom of Polycarp, the Acts of the Martyrs) Clancy described the way in which the persecution and death </w:t>
      </w:r>
      <w:r w:rsidR="00132EC0">
        <w:t xml:space="preserve">of the martyrs </w:t>
      </w:r>
      <w:r w:rsidR="00DB153F">
        <w:t xml:space="preserve">were presented as both a likeness in the </w:t>
      </w:r>
      <w:r w:rsidR="00334E83">
        <w:t>sacrifice of</w:t>
      </w:r>
      <w:r w:rsidR="00DB153F">
        <w:t xml:space="preserve"> Jesus, and as a personal sacrifice in imitation of the Eucharistic sacrifice.  And if the martyrs were described as </w:t>
      </w:r>
      <w:r w:rsidR="00334E83">
        <w:t>extensions</w:t>
      </w:r>
      <w:r w:rsidR="00DB153F">
        <w:t xml:space="preserve"> of the Eucharistic liturgy, the liturgy quickly came to </w:t>
      </w:r>
      <w:r w:rsidR="00334E83">
        <w:t>recognize the sacrifice of</w:t>
      </w:r>
      <w:r w:rsidR="00DB153F">
        <w:t xml:space="preserve"> the m</w:t>
      </w:r>
      <w:r w:rsidR="00334E83">
        <w:t>artyrs in memory, following the great anamnesis.</w:t>
      </w:r>
      <w:r w:rsidR="00D44BC5">
        <w:t xml:space="preserve">  </w:t>
      </w:r>
      <w:r w:rsidR="00334E83">
        <w:t xml:space="preserve"> </w:t>
      </w:r>
    </w:p>
    <w:p w:rsidR="00FE176C" w:rsidRDefault="00FE176C"/>
    <w:p w:rsidR="00FE176C" w:rsidRPr="00FE176C" w:rsidRDefault="00FE176C">
      <w:pPr>
        <w:rPr>
          <w:b/>
        </w:rPr>
      </w:pPr>
      <w:r w:rsidRPr="00FE176C">
        <w:rPr>
          <w:b/>
        </w:rPr>
        <w:t>Augustine</w:t>
      </w:r>
    </w:p>
    <w:p w:rsidR="00AD79B6" w:rsidRDefault="00B13470">
      <w:r>
        <w:tab/>
      </w:r>
      <w:r w:rsidR="00FE176C">
        <w:t xml:space="preserve">The great bishop of Hippo </w:t>
      </w:r>
      <w:r w:rsidR="00AD79B6">
        <w:t xml:space="preserve">profoundly admired the earlier martyrs because of their sacrifice in imitation of Christ’s sacrifice.  But his pastoral concern was to encourage his flock, no longer threatened by Roman persecution, to </w:t>
      </w:r>
      <w:r w:rsidR="00981D3E">
        <w:t>see the sacrifices of</w:t>
      </w:r>
      <w:r w:rsidR="00AD79B6">
        <w:t xml:space="preserve"> the daily lives in solidarity with the martyrs.   One of the places Augustine makes this connection is at the conclusion of Sermon 4:</w:t>
      </w:r>
    </w:p>
    <w:p w:rsidR="00AD79B6" w:rsidRDefault="00AD79B6" w:rsidP="00357501">
      <w:pPr>
        <w:ind w:left="720"/>
      </w:pPr>
      <w:r>
        <w:t xml:space="preserve">Many people have been crowned with victory for fighting wild beasts in the amphitheater.  Many also beat the devil on a bed of sickness and are crowned for it…when you celebrate the birthdays of the martyrs you may imitate the martyrs, and </w:t>
      </w:r>
      <w:r w:rsidR="00981D3E">
        <w:t xml:space="preserve">not </w:t>
      </w:r>
      <w:r>
        <w:t>suppose that you have no chance of winning the crown just because that kind of persecution is lacking nowadays.</w:t>
      </w:r>
      <w:r w:rsidR="00981D3E" w:rsidRPr="00981D3E">
        <w:rPr>
          <w:rStyle w:val="FootnoteReference"/>
        </w:rPr>
        <w:t xml:space="preserve"> </w:t>
      </w:r>
      <w:r w:rsidR="00DB153F">
        <w:rPr>
          <w:rStyle w:val="FootnoteReference"/>
        </w:rPr>
        <w:footnoteReference w:id="2"/>
      </w:r>
      <w:r w:rsidR="0052214F">
        <w:rPr>
          <w:rStyle w:val="FootnoteReference"/>
        </w:rPr>
        <w:footnoteReference w:id="3"/>
      </w:r>
      <w:r w:rsidR="00981D3E">
        <w:rPr>
          <w:rStyle w:val="FootnoteReference"/>
        </w:rPr>
        <w:footnoteReference w:id="4"/>
      </w:r>
    </w:p>
    <w:p w:rsidR="00981D3E" w:rsidRDefault="00421D2B">
      <w:r>
        <w:t xml:space="preserve">As </w:t>
      </w:r>
      <w:proofErr w:type="spellStart"/>
      <w:r>
        <w:t>DeSimone</w:t>
      </w:r>
      <w:proofErr w:type="spellEnd"/>
      <w:r>
        <w:t xml:space="preserve"> notes, “Augustine draws an interesting analogy between martyrs and ordinary Christians…Since the cause, and not the suffering, makes the martyr</w:t>
      </w:r>
      <w:proofErr w:type="gramStart"/>
      <w:r>
        <w:t>..”</w:t>
      </w:r>
      <w:proofErr w:type="gramEnd"/>
      <w:r w:rsidR="00357501">
        <w:t xml:space="preserve"> </w:t>
      </w:r>
    </w:p>
    <w:p w:rsidR="00357501" w:rsidRDefault="00357501">
      <w:r>
        <w:tab/>
        <w:t>Augustine a</w:t>
      </w:r>
      <w:r w:rsidR="003440C3">
        <w:t>ffirms</w:t>
      </w:r>
      <w:r>
        <w:t xml:space="preserve"> the priestly call of ordinary Christians most directly in the City of God X.1-</w:t>
      </w:r>
    </w:p>
    <w:p w:rsidR="00981D3E" w:rsidRDefault="00981D3E"/>
    <w:p w:rsidR="002C610B" w:rsidRDefault="002C610B">
      <w:pPr>
        <w:rPr>
          <w:b/>
        </w:rPr>
      </w:pPr>
      <w:r w:rsidRPr="002C610B">
        <w:rPr>
          <w:b/>
        </w:rPr>
        <w:t xml:space="preserve">St. Peter </w:t>
      </w:r>
      <w:proofErr w:type="spellStart"/>
      <w:r w:rsidRPr="002C610B">
        <w:rPr>
          <w:b/>
        </w:rPr>
        <w:t>Chrysologus</w:t>
      </w:r>
      <w:proofErr w:type="spellEnd"/>
    </w:p>
    <w:p w:rsidR="00C2337D" w:rsidRDefault="00856A85">
      <w:r>
        <w:lastRenderedPageBreak/>
        <w:tab/>
      </w:r>
    </w:p>
    <w:p w:rsidR="00C2337D" w:rsidRDefault="00C2337D">
      <w:r>
        <w:tab/>
        <w:t>What little is know</w:t>
      </w:r>
      <w:r w:rsidR="00EE5F84">
        <w:t>n about St. P</w:t>
      </w:r>
      <w:r>
        <w:t xml:space="preserve">eter’s early life comes from a ninth century biography written by </w:t>
      </w:r>
      <w:proofErr w:type="spellStart"/>
      <w:r>
        <w:t>Agnello</w:t>
      </w:r>
      <w:proofErr w:type="spellEnd"/>
      <w:r>
        <w:t xml:space="preserve"> of Ravenna</w:t>
      </w:r>
      <w:r w:rsidR="00EE5F84">
        <w:t>, who first applied ‘</w:t>
      </w:r>
      <w:proofErr w:type="spellStart"/>
      <w:r w:rsidR="00EE5F84">
        <w:t>Chrysologus</w:t>
      </w:r>
      <w:proofErr w:type="spellEnd"/>
      <w:r w:rsidR="00EE5F84">
        <w:t>’ to St. Peter</w:t>
      </w:r>
      <w:r>
        <w:t xml:space="preserve">.  </w:t>
      </w:r>
      <w:r w:rsidR="00E50DA5">
        <w:t>Based on this biography, St. Peter</w:t>
      </w:r>
      <w:r>
        <w:t xml:space="preserve"> was most likely born around </w:t>
      </w:r>
      <w:r w:rsidR="00E50DA5">
        <w:t>the turn of the</w:t>
      </w:r>
      <w:r>
        <w:t xml:space="preserve"> fifth century </w:t>
      </w:r>
      <w:r w:rsidR="007848AA">
        <w:t xml:space="preserve">in </w:t>
      </w:r>
      <w:proofErr w:type="spellStart"/>
      <w:r w:rsidR="007848AA">
        <w:t>Imola</w:t>
      </w:r>
      <w:proofErr w:type="spellEnd"/>
      <w:r w:rsidR="007848AA">
        <w:t>, becoming</w:t>
      </w:r>
      <w:r w:rsidR="00EB6BB6">
        <w:t xml:space="preserve"> bishop of</w:t>
      </w:r>
      <w:r w:rsidR="00E50DA5">
        <w:t xml:space="preserve"> Rav</w:t>
      </w:r>
      <w:r w:rsidR="00EB6BB6">
        <w:t xml:space="preserve">enna </w:t>
      </w:r>
      <w:r w:rsidR="00EE5F84">
        <w:t>around 430</w:t>
      </w:r>
      <w:r w:rsidR="007848AA">
        <w:t xml:space="preserve">.  He contributed to the </w:t>
      </w:r>
      <w:r w:rsidR="00B23C46">
        <w:t>Christological</w:t>
      </w:r>
      <w:r w:rsidR="007848AA">
        <w:t xml:space="preserve"> controversies of the fifth century by his strong support of </w:t>
      </w:r>
      <w:r w:rsidR="00EE5F84">
        <w:t xml:space="preserve">St. Flavian and Pope St. Leo the Great against </w:t>
      </w:r>
      <w:proofErr w:type="spellStart"/>
      <w:r w:rsidR="00EE5F84">
        <w:t>Eutyches</w:t>
      </w:r>
      <w:proofErr w:type="spellEnd"/>
      <w:r w:rsidR="00EE5F84">
        <w:t xml:space="preserve">.  </w:t>
      </w:r>
      <w:r w:rsidR="007848AA">
        <w:t xml:space="preserve">St. </w:t>
      </w:r>
      <w:r w:rsidR="00A11908">
        <w:t>Peter died around 450.</w:t>
      </w:r>
    </w:p>
    <w:p w:rsidR="00E275C4" w:rsidRDefault="00C54DE6" w:rsidP="00B23C46">
      <w:r>
        <w:tab/>
      </w:r>
      <w:r w:rsidR="00856A85">
        <w:t>As archbishop of Ravenna, Peter developed a</w:t>
      </w:r>
      <w:r w:rsidR="007848AA">
        <w:t>n</w:t>
      </w:r>
      <w:r w:rsidR="00856A85">
        <w:t xml:space="preserve"> abbreviated </w:t>
      </w:r>
      <w:r w:rsidR="007848AA">
        <w:t>rhetorical style for</w:t>
      </w:r>
      <w:r w:rsidR="00856A85">
        <w:t xml:space="preserve"> his homilies.</w:t>
      </w:r>
      <w:r w:rsidR="00AE209C">
        <w:rPr>
          <w:rStyle w:val="FootnoteReference"/>
        </w:rPr>
        <w:footnoteReference w:id="5"/>
      </w:r>
      <w:r w:rsidR="00856A85">
        <w:t xml:space="preserve">  In contrast to Augustine’s detailed exegesis within each </w:t>
      </w:r>
      <w:r w:rsidR="007777D1">
        <w:t>sermon</w:t>
      </w:r>
      <w:r w:rsidR="00856A85">
        <w:t>,</w:t>
      </w:r>
      <w:r w:rsidR="00DB7745">
        <w:rPr>
          <w:rStyle w:val="FootnoteReference"/>
        </w:rPr>
        <w:footnoteReference w:id="6"/>
      </w:r>
      <w:r w:rsidR="00856A85">
        <w:t xml:space="preserve"> </w:t>
      </w:r>
      <w:proofErr w:type="spellStart"/>
      <w:r w:rsidR="00856A85">
        <w:t>Chrysologus</w:t>
      </w:r>
      <w:proofErr w:type="spellEnd"/>
      <w:r w:rsidR="00856A85">
        <w:t xml:space="preserve"> tended to focus on only a few verses </w:t>
      </w:r>
      <w:r w:rsidR="007848AA">
        <w:t>within</w:t>
      </w:r>
      <w:r w:rsidR="00856A85">
        <w:t xml:space="preserve"> each homily.   Most of his sermons are quite short, and could easily be preached in under 15 min.  </w:t>
      </w:r>
      <w:r w:rsidR="009F3630">
        <w:t xml:space="preserve">The abbreviated homiletic style may have been to accommodate the practice in Ravenna and elsewhere </w:t>
      </w:r>
      <w:r w:rsidR="007F2A72">
        <w:t>of preaching</w:t>
      </w:r>
      <w:r w:rsidR="009F3630">
        <w:t xml:space="preserve"> three distinct </w:t>
      </w:r>
      <w:r w:rsidR="007F2A72">
        <w:t>homilies</w:t>
      </w:r>
      <w:r w:rsidR="009F3630">
        <w:t xml:space="preserve"> on each of the three main readings of the day</w:t>
      </w:r>
      <w:r w:rsidR="007777D1">
        <w:t xml:space="preserve"> (Old Testament, Epistle and Gospel)</w:t>
      </w:r>
      <w:r w:rsidR="009F3630">
        <w:t>.</w:t>
      </w:r>
      <w:r w:rsidR="009F3630">
        <w:rPr>
          <w:rStyle w:val="FootnoteReference"/>
        </w:rPr>
        <w:footnoteReference w:id="7"/>
      </w:r>
      <w:r w:rsidR="009F3630">
        <w:t xml:space="preserve">  </w:t>
      </w:r>
      <w:r w:rsidR="00E275C4">
        <w:t>As St. Peter notes at the beginning of Sermon 20 “By God’s profound design, the passages read in the services of the Church are arranged in a wise order, that they may bring deeper penetration to the learned, and impart wholesome grace of understanding to simple folk.”</w:t>
      </w:r>
    </w:p>
    <w:p w:rsidR="00856A85" w:rsidRDefault="00E275C4" w:rsidP="007848AA">
      <w:pPr>
        <w:ind w:firstLine="720"/>
      </w:pPr>
      <w:r>
        <w:t>Perhaps reflecting the 5</w:t>
      </w:r>
      <w:r w:rsidRPr="00E275C4">
        <w:rPr>
          <w:vertAlign w:val="superscript"/>
        </w:rPr>
        <w:t>th</w:t>
      </w:r>
      <w:r>
        <w:t xml:space="preserve"> C lectionary in Ravenna, many of St. Peter’s homilies appear as a series</w:t>
      </w:r>
      <w:r w:rsidR="009F3630">
        <w:t xml:space="preserve">, presumably delivered on consecutive or near-consecutive days.  For example, </w:t>
      </w:r>
      <w:proofErr w:type="spellStart"/>
      <w:r w:rsidR="00065C16">
        <w:t>Chrysologus</w:t>
      </w:r>
      <w:proofErr w:type="spellEnd"/>
      <w:r w:rsidR="00065C16">
        <w:t xml:space="preserve">’ </w:t>
      </w:r>
      <w:r w:rsidR="007777D1">
        <w:t>delivered a se</w:t>
      </w:r>
      <w:r>
        <w:t>quence</w:t>
      </w:r>
      <w:r w:rsidR="007777D1">
        <w:t xml:space="preserve"> </w:t>
      </w:r>
      <w:r w:rsidR="00065C16">
        <w:t>o</w:t>
      </w:r>
      <w:r w:rsidR="007777D1">
        <w:t>f six</w:t>
      </w:r>
      <w:r w:rsidR="00065C16">
        <w:t xml:space="preserve"> homilies on the prodigal son</w:t>
      </w:r>
      <w:r w:rsidR="00FA55FF">
        <w:t>, each focused on a few verses from Luke</w:t>
      </w:r>
      <w:r>
        <w:t xml:space="preserve"> 15</w:t>
      </w:r>
      <w:r w:rsidR="00FA55FF">
        <w:t xml:space="preserve">.  </w:t>
      </w:r>
      <w:r>
        <w:t>C</w:t>
      </w:r>
      <w:r w:rsidR="00FA55FF">
        <w:t>learly preached with the expectation that they w</w:t>
      </w:r>
      <w:r>
        <w:t xml:space="preserve">ould be heard in succession, </w:t>
      </w:r>
      <w:r w:rsidR="00FA55FF">
        <w:t xml:space="preserve">St. Peter frequently suggests to his audience in the earlier homilies that he will explain </w:t>
      </w:r>
      <w:r w:rsidR="00D47F96">
        <w:t>other aspects in subsequent homilies.</w:t>
      </w:r>
      <w:r w:rsidR="00AE209C">
        <w:rPr>
          <w:rStyle w:val="FootnoteReference"/>
        </w:rPr>
        <w:footnoteReference w:id="8"/>
      </w:r>
    </w:p>
    <w:p w:rsidR="00B23C46" w:rsidRPr="00856A85" w:rsidRDefault="00B23C46" w:rsidP="007848AA">
      <w:pPr>
        <w:ind w:firstLine="720"/>
      </w:pPr>
      <w:r>
        <w:t>The first extant collection of St. Peter’s sermons comes from the 8</w:t>
      </w:r>
      <w:r w:rsidRPr="00B23C46">
        <w:rPr>
          <w:vertAlign w:val="superscript"/>
        </w:rPr>
        <w:t>th</w:t>
      </w:r>
      <w:r>
        <w:t xml:space="preserve"> C bishop of Ravenna, Felix.  A more extensive effort was made to collect and categorize the works of St. Peter </w:t>
      </w:r>
      <w:proofErr w:type="spellStart"/>
      <w:r>
        <w:t>Chyrsologus</w:t>
      </w:r>
      <w:proofErr w:type="spellEnd"/>
      <w:r>
        <w:t xml:space="preserve">, which were published in </w:t>
      </w:r>
      <w:proofErr w:type="spellStart"/>
      <w:r>
        <w:t>Migne</w:t>
      </w:r>
      <w:proofErr w:type="spellEnd"/>
      <w:r>
        <w:t xml:space="preserve"> PL 52.  Of the 176 works attributed to St. Peter, 1 letter and 168 homilies were authenticated in the 20</w:t>
      </w:r>
      <w:r w:rsidRPr="00B23C46">
        <w:rPr>
          <w:vertAlign w:val="superscript"/>
        </w:rPr>
        <w:t>th</w:t>
      </w:r>
      <w:r>
        <w:t xml:space="preserve"> C.</w:t>
      </w:r>
      <w:r>
        <w:rPr>
          <w:rStyle w:val="FootnoteReference"/>
        </w:rPr>
        <w:footnoteReference w:id="9"/>
      </w:r>
    </w:p>
    <w:p w:rsidR="002C610B" w:rsidRDefault="002C610B"/>
    <w:p w:rsidR="002C610B" w:rsidRDefault="002C610B">
      <w:pPr>
        <w:rPr>
          <w:b/>
        </w:rPr>
      </w:pPr>
      <w:r w:rsidRPr="002C610B">
        <w:rPr>
          <w:b/>
        </w:rPr>
        <w:t>Sermons 108 and 109</w:t>
      </w:r>
    </w:p>
    <w:p w:rsidR="00D16548" w:rsidRDefault="00D16548">
      <w:r>
        <w:rPr>
          <w:b/>
        </w:rPr>
        <w:lastRenderedPageBreak/>
        <w:tab/>
      </w:r>
      <w:r>
        <w:t>These two homilies</w:t>
      </w:r>
      <w:r w:rsidR="00C54DE6">
        <w:t xml:space="preserve"> focusing on Rom. 12:1-2</w:t>
      </w:r>
      <w:r>
        <w:t xml:space="preserve"> may have been preached by St. Peter during the liturgy in the weeks after Easter.  It was certainly intended that Sermon 109 would be preached shortly after Sermon 108, as St. Peter himself makes clear, referring to Sermon 108 in the opening words of Sermon 109, “Our preceding sermon touched merely on the opening words of the Apostle’s passage.”</w:t>
      </w:r>
      <w:r w:rsidR="00062F03">
        <w:rPr>
          <w:rStyle w:val="FootnoteReference"/>
        </w:rPr>
        <w:footnoteReference w:id="10"/>
      </w:r>
      <w:r w:rsidR="00D44BC5">
        <w:t xml:space="preserve">  It is not known if these homilies were part of a larger sequence on Romans, but presumably St. Peter continued his exegesis with other sermons, but if so, these have not survive.  </w:t>
      </w:r>
    </w:p>
    <w:p w:rsidR="00D44BC5" w:rsidRDefault="00D44BC5">
      <w:r>
        <w:tab/>
      </w:r>
      <w:r w:rsidR="000B0F8A">
        <w:t>Sermon 108</w:t>
      </w:r>
      <w:r w:rsidR="00D832CB">
        <w:rPr>
          <w:rStyle w:val="FootnoteReference"/>
        </w:rPr>
        <w:footnoteReference w:id="11"/>
      </w:r>
      <w:r w:rsidR="000B0F8A">
        <w:t xml:space="preserve"> begins by observing that</w:t>
      </w:r>
      <w:r w:rsidR="000109DE">
        <w:t xml:space="preserve"> the piety preached by </w:t>
      </w:r>
      <w:r w:rsidR="000B0F8A">
        <w:t xml:space="preserve">Paul </w:t>
      </w:r>
      <w:r w:rsidR="000109DE">
        <w:t xml:space="preserve">in Rom 12:1 is </w:t>
      </w:r>
      <w:r w:rsidR="000B0F8A">
        <w:t xml:space="preserve">asking </w:t>
      </w:r>
      <w:proofErr w:type="spellStart"/>
      <w:r w:rsidR="000B0F8A">
        <w:rPr>
          <w:i/>
        </w:rPr>
        <w:t>precetur</w:t>
      </w:r>
      <w:proofErr w:type="spellEnd"/>
      <w:r w:rsidR="000B0F8A">
        <w:rPr>
          <w:i/>
        </w:rPr>
        <w:t xml:space="preserve"> </w:t>
      </w:r>
      <w:r w:rsidR="000B0F8A">
        <w:t xml:space="preserve">for prayers </w:t>
      </w:r>
      <w:r w:rsidR="003B1C9A">
        <w:t xml:space="preserve">from his listeners so that they might receive </w:t>
      </w:r>
      <w:proofErr w:type="spellStart"/>
      <w:r w:rsidR="003B1C9A" w:rsidRPr="000B0F8A">
        <w:rPr>
          <w:i/>
        </w:rPr>
        <w:t>largiatur</w:t>
      </w:r>
      <w:proofErr w:type="spellEnd"/>
      <w:r w:rsidR="003B1C9A">
        <w:t xml:space="preserve"> </w:t>
      </w:r>
      <w:r w:rsidR="000B0F8A">
        <w:t>God’s bountiful mercy</w:t>
      </w:r>
      <w:r w:rsidR="003B1C9A">
        <w:t>.</w:t>
      </w:r>
      <w:r w:rsidR="000B0F8A">
        <w:t xml:space="preserve">  St. Peter makes the analogy of a sick person who asks to be cured, and the physician who generously gives medicine for the cure.  At this point, St. Peter suggests that God is speaking through Paul to encourage Christians to ask for the mercy that will be freely given, because God wants to be our kindly Father, not severe Lord.  </w:t>
      </w:r>
      <w:r w:rsidR="000109DE">
        <w:t>St. P</w:t>
      </w:r>
      <w:r w:rsidR="00670EB5">
        <w:t>eter presents physical images of</w:t>
      </w:r>
      <w:r w:rsidR="000109DE">
        <w:t xml:space="preserve"> God the Father welcoming us as His people:</w:t>
      </w:r>
    </w:p>
    <w:p w:rsidR="000109DE" w:rsidRDefault="000109DE" w:rsidP="00670EB5">
      <w:pPr>
        <w:ind w:left="720"/>
      </w:pPr>
      <w:r>
        <w:t xml:space="preserve">He opens His arms, He enlarges His heart, He </w:t>
      </w:r>
      <w:r w:rsidR="00670EB5">
        <w:t>proffers</w:t>
      </w:r>
      <w:r>
        <w:t xml:space="preserve"> His brea</w:t>
      </w:r>
      <w:r w:rsidR="00670EB5">
        <w:t>s</w:t>
      </w:r>
      <w:r>
        <w:t xml:space="preserve">t, He invites us to His bosom, He lays open His </w:t>
      </w:r>
      <w:proofErr w:type="gramStart"/>
      <w:r>
        <w:t>lap, that</w:t>
      </w:r>
      <w:proofErr w:type="gramEnd"/>
      <w:r>
        <w:t xml:space="preserve"> He may show Himself a Father</w:t>
      </w:r>
      <w:r w:rsidR="00670EB5">
        <w:rPr>
          <w:rStyle w:val="FootnoteReference"/>
        </w:rPr>
        <w:footnoteReference w:id="12"/>
      </w:r>
    </w:p>
    <w:p w:rsidR="00670EB5" w:rsidRDefault="0031232B">
      <w:proofErr w:type="gramStart"/>
      <w:r>
        <w:t>Continues the theme of</w:t>
      </w:r>
      <w:r w:rsidR="00670EB5">
        <w:t xml:space="preserve"> God as Father, with a special application to Christ in His passion.</w:t>
      </w:r>
      <w:proofErr w:type="gramEnd"/>
      <w:r w:rsidR="00670EB5">
        <w:t xml:space="preserve"> Applying the same arms, heart, bosom, </w:t>
      </w:r>
      <w:proofErr w:type="gramStart"/>
      <w:r w:rsidR="00670EB5">
        <w:t>lap</w:t>
      </w:r>
      <w:proofErr w:type="gramEnd"/>
      <w:r w:rsidR="00670EB5">
        <w:t xml:space="preserve"> images to Christ in His passion.  St Peter then places the following words on Christ’s lips:</w:t>
      </w:r>
    </w:p>
    <w:p w:rsidR="00670EB5" w:rsidRDefault="00670EB5" w:rsidP="00670EB5">
      <w:pPr>
        <w:ind w:left="720"/>
      </w:pPr>
      <w:r>
        <w:t xml:space="preserve">Therefore come, return and at least thus have experience of </w:t>
      </w:r>
      <w:proofErr w:type="gramStart"/>
      <w:r>
        <w:t>Me</w:t>
      </w:r>
      <w:proofErr w:type="gramEnd"/>
      <w:r>
        <w:t xml:space="preserve"> as a Father whom you see returning good things for evils, love for injuries, great charities for such great wounds.</w:t>
      </w:r>
      <w:r>
        <w:rPr>
          <w:rStyle w:val="FootnoteReference"/>
        </w:rPr>
        <w:footnoteReference w:id="13"/>
      </w:r>
    </w:p>
    <w:p w:rsidR="00670EB5" w:rsidRDefault="00670EB5" w:rsidP="002A60DC">
      <w:pPr>
        <w:ind w:firstLine="720"/>
      </w:pPr>
      <w:r>
        <w:t xml:space="preserve">Having established the physical imagery of God as Father and Jesus in His passion, St. Peter turns to what Paul means when he says ‘I exhort you to present your bodies as a living sacrifice.’  </w:t>
      </w:r>
      <w:r w:rsidR="00C63D84">
        <w:t xml:space="preserve">Now in imitation </w:t>
      </w:r>
      <w:r w:rsidR="0048370B">
        <w:t>(</w:t>
      </w:r>
      <w:r w:rsidR="0048370B" w:rsidRPr="0048370B">
        <w:rPr>
          <w:i/>
        </w:rPr>
        <w:t>ex forma</w:t>
      </w:r>
      <w:r w:rsidR="0048370B">
        <w:t xml:space="preserve">) </w:t>
      </w:r>
      <w:r w:rsidR="00C63D84">
        <w:t>of</w:t>
      </w:r>
      <w:r>
        <w:t xml:space="preserve"> Christ’s sacrifice, </w:t>
      </w:r>
      <w:r w:rsidR="00C63D84">
        <w:t>the Christian becomes both a priest and a victim</w:t>
      </w:r>
      <w:r w:rsidR="00F22709">
        <w:t xml:space="preserve">.  Echoing the duality of both asking and giving at the beginning of the sermon, St. Peter </w:t>
      </w:r>
      <w:r w:rsidR="0048370B">
        <w:t>says that now each Christian</w:t>
      </w:r>
      <w:r w:rsidR="00F22709">
        <w:t xml:space="preserve"> can both ask as priest and offer himself as victim.   </w:t>
      </w:r>
      <w:r w:rsidR="00C63D84">
        <w:t>‘By requesting this, the Apostle has raised all men to a priestly rank.’</w:t>
      </w:r>
      <w:r w:rsidR="00C63D84">
        <w:rPr>
          <w:rStyle w:val="FootnoteReference"/>
        </w:rPr>
        <w:footnoteReference w:id="14"/>
      </w:r>
      <w:r w:rsidR="002A60DC">
        <w:t xml:space="preserve">  In a reference to the earlier Christian ideal of sacrifice by the martyrs, St. Peter observes that through their death they are given new life, referring to their birth at the time of their death.  </w:t>
      </w:r>
    </w:p>
    <w:p w:rsidR="002A60DC" w:rsidRDefault="00482BA4" w:rsidP="002A60DC">
      <w:pPr>
        <w:ind w:firstLine="720"/>
      </w:pPr>
      <w:r>
        <w:t xml:space="preserve">Peter exhorts his congregation to be a sacrifice in a </w:t>
      </w:r>
      <w:r w:rsidR="0031232B">
        <w:t>different</w:t>
      </w:r>
      <w:r>
        <w:t xml:space="preserve"> way form the martyrs.  They can “Be both a sacrifice and a priest” by “putting</w:t>
      </w:r>
      <w:r w:rsidR="0031232B">
        <w:t xml:space="preserve"> </w:t>
      </w:r>
      <w:r>
        <w:t>on the robe of sanctity…</w:t>
      </w:r>
      <w:r w:rsidR="0031232B">
        <w:t>girded with the belt of</w:t>
      </w:r>
      <w:r>
        <w:t xml:space="preserve"> chastity.”  Instead of outer priestly robes, ‘Cover</w:t>
      </w:r>
      <w:r w:rsidR="0031232B">
        <w:t xml:space="preserve"> your breast with the mystery of</w:t>
      </w:r>
      <w:r>
        <w:t xml:space="preserve"> heavenly knowledge.”  Instead of </w:t>
      </w:r>
      <w:r>
        <w:lastRenderedPageBreak/>
        <w:t>priestly offering in the Temple, “Set up your heart as an altar.” In this way “move your body forward in this way to make it a victim for God.”</w:t>
      </w:r>
      <w:r>
        <w:rPr>
          <w:rStyle w:val="FootnoteReference"/>
        </w:rPr>
        <w:footnoteReference w:id="15"/>
      </w:r>
    </w:p>
    <w:p w:rsidR="00482BA4" w:rsidRDefault="00482BA4" w:rsidP="002A60DC">
      <w:pPr>
        <w:ind w:firstLine="720"/>
      </w:pPr>
      <w:r>
        <w:t xml:space="preserve">In a reference to the sacrifice of Isaac and the </w:t>
      </w:r>
      <w:r w:rsidR="006042BD">
        <w:t>Christian</w:t>
      </w:r>
      <w:r>
        <w:t xml:space="preserve"> martyrs, St. Peter suggests that the virtues offer a way to offer the living sacrifice.   Giving fasting, chastity, mercy as examples which can lead to the death of gluttony, lusts, and avarice, St. Peter suggests that this is the sacrifice of the Christian priest.</w:t>
      </w:r>
      <w:r w:rsidR="006042BD">
        <w:t xml:space="preserve"> “Your body lives, O man, it lives as often as you have offered to God a life of virtues through the death of your vices.”</w:t>
      </w:r>
      <w:r w:rsidR="006042BD">
        <w:rPr>
          <w:rStyle w:val="FootnoteReference"/>
        </w:rPr>
        <w:footnoteReference w:id="16"/>
      </w:r>
    </w:p>
    <w:p w:rsidR="0036733E" w:rsidRPr="00182977" w:rsidRDefault="00E27348" w:rsidP="002A60DC">
      <w:pPr>
        <w:ind w:firstLine="720"/>
      </w:pPr>
      <w:r>
        <w:t xml:space="preserve">In Sermon 109 the bishop of Ravenna continues his discussion is meant by sacrifice in the context of the reasonable sacrifice of Rom 12:1.  </w:t>
      </w:r>
      <w:r w:rsidR="00B3016F">
        <w:t>He begins by observing that Paul speaks of the body as the sacrifice because ‘sins master the body.’</w:t>
      </w:r>
      <w:r w:rsidR="00B3016F">
        <w:rPr>
          <w:rStyle w:val="FootnoteReference"/>
        </w:rPr>
        <w:footnoteReference w:id="17"/>
      </w:r>
      <w:r w:rsidR="00182977">
        <w:t xml:space="preserve">  St. Peter seems to believe that sins originate in the body, ‘vices corrupt it and passions weigh it down.’</w:t>
      </w:r>
      <w:r w:rsidR="00182977">
        <w:rPr>
          <w:rStyle w:val="FootnoteReference"/>
        </w:rPr>
        <w:footnoteReference w:id="18"/>
      </w:r>
      <w:r w:rsidR="00182977">
        <w:t xml:space="preserve">  He then argues that rather than trying to denigrate the body, Paul ‘wants the body to rise up to where the soul took its origin, rather than have the soul descend to the nature of the body.’  Linking Ps 50, </w:t>
      </w:r>
      <w:proofErr w:type="gramStart"/>
      <w:r w:rsidR="00182977">
        <w:rPr>
          <w:i/>
        </w:rPr>
        <w:t>A</w:t>
      </w:r>
      <w:proofErr w:type="gramEnd"/>
      <w:r w:rsidR="00182977">
        <w:rPr>
          <w:i/>
        </w:rPr>
        <w:t xml:space="preserve"> sacrifice to God is an afflicted spirit,</w:t>
      </w:r>
      <w:r w:rsidR="00182977" w:rsidRPr="00182977">
        <w:t xml:space="preserve"> St. Peter suggests </w:t>
      </w:r>
      <w:r w:rsidR="00182977">
        <w:t>“the Apostle…wishes both the body and soul, that is the whole man, to become a holy victim, a sacrifice pleasing to God.”</w:t>
      </w:r>
      <w:r w:rsidR="00182977">
        <w:rPr>
          <w:rStyle w:val="FootnoteReference"/>
        </w:rPr>
        <w:footnoteReference w:id="19"/>
      </w:r>
      <w:bookmarkStart w:id="0" w:name="_GoBack"/>
      <w:bookmarkEnd w:id="0"/>
    </w:p>
    <w:p w:rsidR="00081964" w:rsidRDefault="00081964">
      <w:r>
        <w:t xml:space="preserve"> </w:t>
      </w:r>
    </w:p>
    <w:p w:rsidR="002C610B" w:rsidRPr="002C610B" w:rsidRDefault="002C610B">
      <w:pPr>
        <w:rPr>
          <w:b/>
        </w:rPr>
      </w:pPr>
      <w:r w:rsidRPr="002C610B">
        <w:rPr>
          <w:b/>
        </w:rPr>
        <w:t>Conclusion</w:t>
      </w:r>
    </w:p>
    <w:p w:rsidR="00081964" w:rsidRDefault="00081964"/>
    <w:p w:rsidR="00081964" w:rsidRDefault="00081964"/>
    <w:p w:rsidR="003F23F3" w:rsidRDefault="006300B7">
      <w:r>
        <w:t>Bibliography</w:t>
      </w:r>
    </w:p>
    <w:p w:rsidR="006300B7" w:rsidRPr="008D586E" w:rsidRDefault="008D586E">
      <w:proofErr w:type="spellStart"/>
      <w:r>
        <w:t>Russel</w:t>
      </w:r>
      <w:proofErr w:type="spellEnd"/>
      <w:r>
        <w:t xml:space="preserve"> J. </w:t>
      </w:r>
      <w:proofErr w:type="spellStart"/>
      <w:r>
        <w:t>DeSim</w:t>
      </w:r>
      <w:r w:rsidR="009D1938">
        <w:t>one</w:t>
      </w:r>
      <w:proofErr w:type="spellEnd"/>
      <w:r w:rsidR="009D1938">
        <w:t>, “</w:t>
      </w:r>
      <w:r>
        <w:t>Augustine: O</w:t>
      </w:r>
      <w:r w:rsidR="00E07D71">
        <w:t>n</w:t>
      </w:r>
      <w:r>
        <w:t xml:space="preserve"> Being a Christian,” </w:t>
      </w:r>
      <w:r>
        <w:rPr>
          <w:i/>
        </w:rPr>
        <w:t xml:space="preserve">Augustinian Studies </w:t>
      </w:r>
      <w:proofErr w:type="spellStart"/>
      <w:r>
        <w:t>Vol</w:t>
      </w:r>
      <w:proofErr w:type="spellEnd"/>
      <w:r>
        <w:t xml:space="preserve"> 19, pp 1-36 (1988)</w:t>
      </w:r>
    </w:p>
    <w:p w:rsidR="006300B7" w:rsidRDefault="006300B7">
      <w:pPr>
        <w:rPr>
          <w:rStyle w:val="cit-sep"/>
          <w:rFonts w:ascii="Arial" w:hAnsi="Arial" w:cs="Arial"/>
          <w:color w:val="222222"/>
          <w:bdr w:val="none" w:sz="0" w:space="0" w:color="auto" w:frame="1"/>
          <w:shd w:val="clear" w:color="auto" w:fill="FFFFFF"/>
        </w:rPr>
      </w:pPr>
      <w:r>
        <w:rPr>
          <w:rStyle w:val="cit-title"/>
          <w:rFonts w:ascii="Arial" w:hAnsi="Arial" w:cs="Arial"/>
          <w:b/>
          <w:bCs/>
          <w:color w:val="111111"/>
          <w:bdr w:val="none" w:sz="0" w:space="0" w:color="auto" w:frame="1"/>
          <w:shd w:val="clear" w:color="auto" w:fill="FFFFFF"/>
        </w:rPr>
        <w:t xml:space="preserve">l. Ryan; Patristic Teaching </w:t>
      </w:r>
      <w:proofErr w:type="gramStart"/>
      <w:r>
        <w:rPr>
          <w:rStyle w:val="cit-title"/>
          <w:rFonts w:ascii="Arial" w:hAnsi="Arial" w:cs="Arial"/>
          <w:b/>
          <w:bCs/>
          <w:color w:val="111111"/>
          <w:bdr w:val="none" w:sz="0" w:space="0" w:color="auto" w:frame="1"/>
          <w:shd w:val="clear" w:color="auto" w:fill="FFFFFF"/>
        </w:rPr>
        <w:t>On</w:t>
      </w:r>
      <w:proofErr w:type="gramEnd"/>
      <w:r>
        <w:rPr>
          <w:rStyle w:val="cit-title"/>
          <w:rFonts w:ascii="Arial" w:hAnsi="Arial" w:cs="Arial"/>
          <w:b/>
          <w:bCs/>
          <w:color w:val="111111"/>
          <w:bdr w:val="none" w:sz="0" w:space="0" w:color="auto" w:frame="1"/>
          <w:shd w:val="clear" w:color="auto" w:fill="FFFFFF"/>
        </w:rPr>
        <w:t xml:space="preserve"> the Priesthood of the Faithful</w:t>
      </w:r>
      <w:r w:rsidR="005720AE">
        <w:rPr>
          <w:rStyle w:val="cit-title"/>
          <w:rFonts w:ascii="Arial" w:hAnsi="Arial" w:cs="Arial"/>
          <w:b/>
          <w:bCs/>
          <w:color w:val="111111"/>
          <w:bdr w:val="none" w:sz="0" w:space="0" w:color="auto" w:frame="1"/>
          <w:shd w:val="clear" w:color="auto" w:fill="FFFFFF"/>
        </w:rPr>
        <w:t xml:space="preserve"> </w:t>
      </w:r>
      <w:r>
        <w:rPr>
          <w:rStyle w:val="site-title"/>
          <w:rFonts w:ascii="Arial" w:hAnsi="Arial" w:cs="Arial"/>
          <w:color w:val="222222"/>
          <w:bdr w:val="none" w:sz="0" w:space="0" w:color="auto" w:frame="1"/>
          <w:shd w:val="clear" w:color="auto" w:fill="FFFFFF"/>
        </w:rPr>
        <w:t>Irish Theological Quarterly</w:t>
      </w:r>
      <w:r>
        <w:rPr>
          <w:rStyle w:val="apple-converted-space"/>
          <w:rFonts w:ascii="Arial" w:hAnsi="Arial" w:cs="Arial"/>
          <w:color w:val="222222"/>
          <w:bdr w:val="none" w:sz="0" w:space="0" w:color="auto" w:frame="1"/>
          <w:shd w:val="clear" w:color="auto" w:fill="FFFFFF"/>
        </w:rPr>
        <w:t> </w:t>
      </w:r>
      <w:r>
        <w:rPr>
          <w:rStyle w:val="cit-print-date"/>
          <w:rFonts w:ascii="Arial" w:hAnsi="Arial" w:cs="Arial"/>
          <w:color w:val="222222"/>
          <w:bdr w:val="none" w:sz="0" w:space="0" w:color="auto" w:frame="1"/>
          <w:shd w:val="clear" w:color="auto" w:fill="FFFFFF"/>
        </w:rPr>
        <w:t>March 1962</w:t>
      </w:r>
      <w:r>
        <w:rPr>
          <w:rStyle w:val="apple-converted-space"/>
          <w:rFonts w:ascii="Arial" w:hAnsi="Arial" w:cs="Arial"/>
          <w:color w:val="222222"/>
          <w:bdr w:val="none" w:sz="0" w:space="0" w:color="auto" w:frame="1"/>
          <w:shd w:val="clear" w:color="auto" w:fill="FFFFFF"/>
        </w:rPr>
        <w:t> </w:t>
      </w:r>
      <w:r>
        <w:rPr>
          <w:rStyle w:val="cit-vol"/>
          <w:rFonts w:ascii="Arial" w:hAnsi="Arial" w:cs="Arial"/>
          <w:color w:val="222222"/>
          <w:bdr w:val="none" w:sz="0" w:space="0" w:color="auto" w:frame="1"/>
          <w:shd w:val="clear" w:color="auto" w:fill="FFFFFF"/>
        </w:rPr>
        <w:t>29</w:t>
      </w:r>
      <w:r>
        <w:rPr>
          <w:rStyle w:val="cit-sep"/>
          <w:rFonts w:ascii="Arial" w:hAnsi="Arial" w:cs="Arial"/>
          <w:color w:val="222222"/>
          <w:bdr w:val="none" w:sz="0" w:space="0" w:color="auto" w:frame="1"/>
          <w:shd w:val="clear" w:color="auto" w:fill="FFFFFF"/>
        </w:rPr>
        <w:t>:</w:t>
      </w:r>
      <w:r>
        <w:rPr>
          <w:rStyle w:val="cit-first-page"/>
          <w:rFonts w:ascii="Arial" w:hAnsi="Arial" w:cs="Arial"/>
          <w:color w:val="222222"/>
          <w:bdr w:val="none" w:sz="0" w:space="0" w:color="auto" w:frame="1"/>
          <w:shd w:val="clear" w:color="auto" w:fill="FFFFFF"/>
        </w:rPr>
        <w:t>25</w:t>
      </w:r>
      <w:r>
        <w:rPr>
          <w:rStyle w:val="cit-sep"/>
          <w:rFonts w:ascii="Arial" w:hAnsi="Arial" w:cs="Arial"/>
          <w:color w:val="222222"/>
          <w:bdr w:val="none" w:sz="0" w:space="0" w:color="auto" w:frame="1"/>
          <w:shd w:val="clear" w:color="auto" w:fill="FFFFFF"/>
        </w:rPr>
        <w:t>-</w:t>
      </w:r>
      <w:r>
        <w:rPr>
          <w:rStyle w:val="cit-last-page"/>
          <w:rFonts w:ascii="Arial" w:hAnsi="Arial" w:cs="Arial"/>
          <w:color w:val="222222"/>
          <w:bdr w:val="none" w:sz="0" w:space="0" w:color="auto" w:frame="1"/>
          <w:shd w:val="clear" w:color="auto" w:fill="FFFFFF"/>
        </w:rPr>
        <w:t>51</w:t>
      </w:r>
      <w:r>
        <w:rPr>
          <w:rStyle w:val="cit-sep"/>
          <w:rFonts w:ascii="Arial" w:hAnsi="Arial" w:cs="Arial"/>
          <w:color w:val="222222"/>
          <w:bdr w:val="none" w:sz="0" w:space="0" w:color="auto" w:frame="1"/>
          <w:shd w:val="clear" w:color="auto" w:fill="FFFFFF"/>
        </w:rPr>
        <w:t>,</w:t>
      </w:r>
    </w:p>
    <w:p w:rsidR="00B47059" w:rsidRPr="007777D1" w:rsidRDefault="00B47059" w:rsidP="00B47059">
      <w:pPr>
        <w:shd w:val="clear" w:color="auto" w:fill="F1F1F1"/>
        <w:spacing w:after="0" w:line="240" w:lineRule="auto"/>
        <w:rPr>
          <w:rFonts w:ascii="Arial" w:eastAsia="Times New Roman" w:hAnsi="Arial" w:cs="Arial"/>
          <w:color w:val="000000"/>
          <w:sz w:val="20"/>
          <w:szCs w:val="141"/>
        </w:rPr>
      </w:pPr>
      <w:r>
        <w:t xml:space="preserve">Origen, </w:t>
      </w:r>
      <w:r>
        <w:rPr>
          <w:i/>
        </w:rPr>
        <w:t>Homilies on Leviticus</w:t>
      </w:r>
      <w:r>
        <w:t xml:space="preserve"> (FC 83:37, trans. Gary Barkley)</w:t>
      </w:r>
    </w:p>
    <w:p w:rsidR="005B0641" w:rsidRDefault="005B0641">
      <w:pPr>
        <w:rPr>
          <w:rStyle w:val="cit-sep"/>
          <w:rFonts w:ascii="Arial" w:hAnsi="Arial" w:cs="Arial"/>
          <w:color w:val="222222"/>
          <w:bdr w:val="none" w:sz="0" w:space="0" w:color="auto" w:frame="1"/>
          <w:shd w:val="clear" w:color="auto" w:fill="FFFFFF"/>
        </w:rPr>
      </w:pPr>
    </w:p>
    <w:p w:rsidR="005B0641" w:rsidRDefault="00205460">
      <w:hyperlink r:id="rId8" w:history="1">
        <w:r w:rsidR="005B0641" w:rsidRPr="008C7DEB">
          <w:rPr>
            <w:rStyle w:val="Hyperlink"/>
          </w:rPr>
          <w:t>http://www.scotthahn.com/download/attachment/3406</w:t>
        </w:r>
      </w:hyperlink>
      <w:r w:rsidR="005B0641">
        <w:t xml:space="preserve"> </w:t>
      </w:r>
      <w:proofErr w:type="spellStart"/>
      <w:r w:rsidR="005B0641">
        <w:t>Finbarr</w:t>
      </w:r>
      <w:proofErr w:type="spellEnd"/>
      <w:r w:rsidR="005B0641">
        <w:t xml:space="preserve"> </w:t>
      </w:r>
      <w:proofErr w:type="spellStart"/>
      <w:r w:rsidR="005B0641">
        <w:t>Clancey</w:t>
      </w:r>
      <w:proofErr w:type="spellEnd"/>
    </w:p>
    <w:p w:rsidR="00A363DA" w:rsidRDefault="00856A85">
      <w:r>
        <w:t xml:space="preserve">Peter </w:t>
      </w:r>
      <w:proofErr w:type="spellStart"/>
      <w:r>
        <w:t>Sanlon</w:t>
      </w:r>
      <w:proofErr w:type="spellEnd"/>
      <w:r>
        <w:t xml:space="preserve">, </w:t>
      </w:r>
      <w:r>
        <w:rPr>
          <w:i/>
        </w:rPr>
        <w:t xml:space="preserve">Augustine’s Theology of Preaching </w:t>
      </w:r>
      <w:r>
        <w:t>(Minneapolis: Fortress Press, 2014)</w:t>
      </w:r>
    </w:p>
    <w:p w:rsidR="00A363DA" w:rsidRDefault="00A363DA">
      <w:r>
        <w:t xml:space="preserve">Peter </w:t>
      </w:r>
      <w:proofErr w:type="spellStart"/>
      <w:r>
        <w:t>Chrysologus</w:t>
      </w:r>
      <w:proofErr w:type="spellEnd"/>
      <w:r>
        <w:t xml:space="preserve"> Sermon 108 on Rom 12:1</w:t>
      </w:r>
    </w:p>
    <w:p w:rsidR="007777D1" w:rsidRPr="007777D1" w:rsidRDefault="007777D1" w:rsidP="007777D1">
      <w:pPr>
        <w:shd w:val="clear" w:color="auto" w:fill="F1F1F1"/>
        <w:spacing w:after="0" w:line="240" w:lineRule="auto"/>
        <w:rPr>
          <w:rFonts w:ascii="Arial" w:eastAsia="Times New Roman" w:hAnsi="Arial" w:cs="Arial"/>
          <w:color w:val="000000"/>
          <w:sz w:val="20"/>
          <w:szCs w:val="141"/>
        </w:rPr>
      </w:pPr>
      <w:r w:rsidRPr="007777D1">
        <w:rPr>
          <w:rFonts w:ascii="Times New Roman" w:eastAsia="Times New Roman" w:hAnsi="Times New Roman" w:cs="Times New Roman"/>
          <w:color w:val="231F20"/>
          <w:sz w:val="20"/>
          <w:szCs w:val="141"/>
          <w:bdr w:val="none" w:sz="0" w:space="0" w:color="auto" w:frame="1"/>
        </w:rPr>
        <w:lastRenderedPageBreak/>
        <w:t>Hughes Oliphant Old,</w:t>
      </w:r>
    </w:p>
    <w:p w:rsidR="007777D1" w:rsidRPr="007777D1" w:rsidRDefault="007777D1" w:rsidP="007777D1">
      <w:pPr>
        <w:shd w:val="clear" w:color="auto" w:fill="F1F1F1"/>
        <w:spacing w:after="0" w:line="240" w:lineRule="auto"/>
        <w:rPr>
          <w:rFonts w:ascii="Arial" w:eastAsia="Times New Roman" w:hAnsi="Arial" w:cs="Arial"/>
          <w:color w:val="000000"/>
          <w:sz w:val="20"/>
          <w:szCs w:val="143"/>
        </w:rPr>
      </w:pPr>
      <w:r w:rsidRPr="007777D1">
        <w:rPr>
          <w:rFonts w:ascii="Times New Roman" w:eastAsia="Times New Roman" w:hAnsi="Times New Roman" w:cs="Times New Roman"/>
          <w:i/>
          <w:iCs/>
          <w:color w:val="231F20"/>
          <w:sz w:val="20"/>
          <w:szCs w:val="143"/>
          <w:bdr w:val="none" w:sz="0" w:space="0" w:color="auto" w:frame="1"/>
        </w:rPr>
        <w:t>The Reading and Preaching of the Scriptures in the Worship of the Christian Church</w:t>
      </w:r>
    </w:p>
    <w:p w:rsidR="007777D1" w:rsidRPr="007777D1" w:rsidRDefault="007777D1" w:rsidP="007777D1">
      <w:pPr>
        <w:shd w:val="clear" w:color="auto" w:fill="F1F1F1"/>
        <w:spacing w:after="0" w:line="240" w:lineRule="auto"/>
        <w:rPr>
          <w:rFonts w:ascii="Arial" w:eastAsia="Times New Roman" w:hAnsi="Arial" w:cs="Arial"/>
          <w:color w:val="000000"/>
          <w:sz w:val="20"/>
          <w:szCs w:val="141"/>
        </w:rPr>
      </w:pPr>
      <w:r w:rsidRPr="007777D1">
        <w:rPr>
          <w:rFonts w:ascii="Times New Roman" w:eastAsia="Times New Roman" w:hAnsi="Times New Roman" w:cs="Times New Roman"/>
          <w:color w:val="231F20"/>
          <w:sz w:val="20"/>
          <w:szCs w:val="141"/>
          <w:bdr w:val="none" w:sz="0" w:space="0" w:color="auto" w:frame="1"/>
        </w:rPr>
        <w:t> </w:t>
      </w:r>
      <w:proofErr w:type="gramStart"/>
      <w:r w:rsidRPr="007777D1">
        <w:rPr>
          <w:rFonts w:ascii="Times New Roman" w:eastAsia="Times New Roman" w:hAnsi="Times New Roman" w:cs="Times New Roman"/>
          <w:color w:val="231F20"/>
          <w:sz w:val="20"/>
          <w:szCs w:val="141"/>
          <w:bdr w:val="none" w:sz="0" w:space="0" w:color="auto" w:frame="1"/>
        </w:rPr>
        <w:t>II.</w:t>
      </w:r>
      <w:proofErr w:type="gramEnd"/>
    </w:p>
    <w:p w:rsidR="007777D1" w:rsidRPr="007777D1" w:rsidRDefault="007777D1" w:rsidP="007777D1">
      <w:pPr>
        <w:shd w:val="clear" w:color="auto" w:fill="F1F1F1"/>
        <w:spacing w:after="0" w:line="240" w:lineRule="auto"/>
        <w:rPr>
          <w:rFonts w:ascii="Arial" w:eastAsia="Times New Roman" w:hAnsi="Arial" w:cs="Arial"/>
          <w:color w:val="000000"/>
          <w:sz w:val="20"/>
          <w:szCs w:val="143"/>
        </w:rPr>
      </w:pPr>
      <w:r w:rsidRPr="007777D1">
        <w:rPr>
          <w:rFonts w:ascii="Times New Roman" w:eastAsia="Times New Roman" w:hAnsi="Times New Roman" w:cs="Times New Roman"/>
          <w:i/>
          <w:iCs/>
          <w:color w:val="231F20"/>
          <w:sz w:val="20"/>
          <w:szCs w:val="143"/>
          <w:bdr w:val="none" w:sz="0" w:space="0" w:color="auto" w:frame="1"/>
        </w:rPr>
        <w:t>The Patristic Age</w:t>
      </w:r>
    </w:p>
    <w:p w:rsidR="007777D1" w:rsidRDefault="007777D1" w:rsidP="007777D1">
      <w:pPr>
        <w:shd w:val="clear" w:color="auto" w:fill="F1F1F1"/>
        <w:spacing w:after="0" w:line="240" w:lineRule="auto"/>
        <w:rPr>
          <w:rFonts w:ascii="Times New Roman" w:eastAsia="Times New Roman" w:hAnsi="Times New Roman" w:cs="Times New Roman"/>
          <w:color w:val="231F20"/>
          <w:sz w:val="20"/>
          <w:szCs w:val="141"/>
          <w:bdr w:val="none" w:sz="0" w:space="0" w:color="auto" w:frame="1"/>
        </w:rPr>
      </w:pPr>
      <w:r w:rsidRPr="007777D1">
        <w:rPr>
          <w:rFonts w:ascii="Times New Roman" w:eastAsia="Times New Roman" w:hAnsi="Times New Roman" w:cs="Times New Roman"/>
          <w:color w:val="231F20"/>
          <w:sz w:val="20"/>
          <w:szCs w:val="141"/>
          <w:bdr w:val="none" w:sz="0" w:space="0" w:color="auto" w:frame="1"/>
        </w:rPr>
        <w:t> (</w:t>
      </w:r>
      <w:proofErr w:type="spellStart"/>
      <w:r w:rsidRPr="007777D1">
        <w:rPr>
          <w:rFonts w:ascii="Times New Roman" w:eastAsia="Times New Roman" w:hAnsi="Times New Roman" w:cs="Times New Roman"/>
          <w:color w:val="231F20"/>
          <w:sz w:val="20"/>
          <w:szCs w:val="141"/>
          <w:bdr w:val="none" w:sz="0" w:space="0" w:color="auto" w:frame="1"/>
        </w:rPr>
        <w:t>GrandRapids</w:t>
      </w:r>
      <w:proofErr w:type="spellEnd"/>
      <w:r w:rsidRPr="007777D1">
        <w:rPr>
          <w:rFonts w:ascii="Times New Roman" w:eastAsia="Times New Roman" w:hAnsi="Times New Roman" w:cs="Times New Roman"/>
          <w:color w:val="231F20"/>
          <w:sz w:val="20"/>
          <w:szCs w:val="141"/>
          <w:bdr w:val="none" w:sz="0" w:space="0" w:color="auto" w:frame="1"/>
        </w:rPr>
        <w:t>, Mich., 1998)</w:t>
      </w:r>
    </w:p>
    <w:p w:rsidR="00B47059" w:rsidRDefault="00B47059" w:rsidP="007777D1">
      <w:pPr>
        <w:shd w:val="clear" w:color="auto" w:fill="F1F1F1"/>
        <w:spacing w:after="0" w:line="240" w:lineRule="auto"/>
        <w:rPr>
          <w:rFonts w:ascii="Times New Roman" w:eastAsia="Times New Roman" w:hAnsi="Times New Roman" w:cs="Times New Roman"/>
          <w:color w:val="231F20"/>
          <w:sz w:val="20"/>
          <w:szCs w:val="141"/>
          <w:bdr w:val="none" w:sz="0" w:space="0" w:color="auto" w:frame="1"/>
        </w:rPr>
      </w:pPr>
    </w:p>
    <w:p w:rsidR="007777D1" w:rsidRPr="007777D1" w:rsidRDefault="007777D1">
      <w:pPr>
        <w:rPr>
          <w:sz w:val="4"/>
        </w:rPr>
      </w:pPr>
    </w:p>
    <w:p w:rsidR="00081964" w:rsidRDefault="00081964"/>
    <w:p w:rsidR="00081964" w:rsidRDefault="00DB153F">
      <w:proofErr w:type="spellStart"/>
      <w:r>
        <w:t>Finbarr</w:t>
      </w:r>
      <w:proofErr w:type="spellEnd"/>
      <w:r>
        <w:t xml:space="preserve"> Clancy, “Imitating the mysteries that you celebrate: martyrdom and Eucharist in the early Patristic period,” </w:t>
      </w:r>
      <w:r>
        <w:rPr>
          <w:rFonts w:ascii="Verdana" w:hAnsi="Verdana"/>
          <w:sz w:val="18"/>
          <w:szCs w:val="18"/>
        </w:rPr>
        <w:t xml:space="preserve">The Great Persecution: The Proceedings of the Fifth Patristics Conference, </w:t>
      </w:r>
      <w:proofErr w:type="spellStart"/>
      <w:r>
        <w:rPr>
          <w:rFonts w:ascii="Verdana" w:hAnsi="Verdana"/>
          <w:sz w:val="18"/>
          <w:szCs w:val="18"/>
        </w:rPr>
        <w:t>Maynooth</w:t>
      </w:r>
      <w:proofErr w:type="spellEnd"/>
      <w:r>
        <w:rPr>
          <w:rFonts w:ascii="Verdana" w:hAnsi="Verdana"/>
          <w:sz w:val="18"/>
          <w:szCs w:val="18"/>
        </w:rPr>
        <w:t xml:space="preserve">, 2003, eds. D. Vincent </w:t>
      </w:r>
      <w:proofErr w:type="spellStart"/>
      <w:r>
        <w:rPr>
          <w:rFonts w:ascii="Verdana" w:hAnsi="Verdana"/>
          <w:sz w:val="18"/>
          <w:szCs w:val="18"/>
        </w:rPr>
        <w:t>Twomey</w:t>
      </w:r>
      <w:proofErr w:type="spellEnd"/>
      <w:r>
        <w:rPr>
          <w:rFonts w:ascii="Verdana" w:hAnsi="Verdana"/>
          <w:sz w:val="18"/>
          <w:szCs w:val="18"/>
        </w:rPr>
        <w:t xml:space="preserve"> SVD and Mark Humphries. Dublin: Four Courts Press (2009), pp. 106-140</w:t>
      </w:r>
    </w:p>
    <w:sectPr w:rsidR="0008196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460" w:rsidRDefault="00205460" w:rsidP="00856A85">
      <w:pPr>
        <w:spacing w:after="0" w:line="240" w:lineRule="auto"/>
      </w:pPr>
      <w:r>
        <w:separator/>
      </w:r>
    </w:p>
  </w:endnote>
  <w:endnote w:type="continuationSeparator" w:id="0">
    <w:p w:rsidR="00205460" w:rsidRDefault="00205460" w:rsidP="0085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A85" w:rsidRDefault="00856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460" w:rsidRDefault="00205460" w:rsidP="00856A85">
      <w:pPr>
        <w:spacing w:after="0" w:line="240" w:lineRule="auto"/>
      </w:pPr>
      <w:r>
        <w:separator/>
      </w:r>
    </w:p>
  </w:footnote>
  <w:footnote w:type="continuationSeparator" w:id="0">
    <w:p w:rsidR="00205460" w:rsidRDefault="00205460" w:rsidP="00856A85">
      <w:pPr>
        <w:spacing w:after="0" w:line="240" w:lineRule="auto"/>
      </w:pPr>
      <w:r>
        <w:continuationSeparator/>
      </w:r>
    </w:p>
  </w:footnote>
  <w:footnote w:id="1">
    <w:p w:rsidR="001969DF" w:rsidRPr="001969DF" w:rsidRDefault="001969DF">
      <w:pPr>
        <w:pStyle w:val="FootnoteText"/>
      </w:pPr>
      <w:r>
        <w:rPr>
          <w:rStyle w:val="FootnoteReference"/>
        </w:rPr>
        <w:footnoteRef/>
      </w:r>
      <w:r>
        <w:t xml:space="preserve"> Hippolytus, </w:t>
      </w:r>
      <w:r>
        <w:rPr>
          <w:i/>
        </w:rPr>
        <w:t>The Apostolic Tradition,</w:t>
      </w:r>
      <w:r w:rsidR="00844E4D">
        <w:t xml:space="preserve"> X.1</w:t>
      </w:r>
      <w:r>
        <w:rPr>
          <w:i/>
        </w:rPr>
        <w:t xml:space="preserve"> </w:t>
      </w:r>
      <w:r>
        <w:t>(London:</w:t>
      </w:r>
      <w:r w:rsidR="005F6237">
        <w:t xml:space="preserve"> </w:t>
      </w:r>
      <w:r>
        <w:t>Alban Press, revised 1992) trans. Gregory Dix, p. 18</w:t>
      </w:r>
    </w:p>
  </w:footnote>
  <w:footnote w:id="2">
    <w:p w:rsidR="00DB153F" w:rsidRDefault="00DB153F">
      <w:pPr>
        <w:pStyle w:val="FootnoteText"/>
      </w:pPr>
      <w:r>
        <w:rPr>
          <w:rStyle w:val="FootnoteReference"/>
        </w:rPr>
        <w:footnoteRef/>
      </w:r>
      <w:r>
        <w:t xml:space="preserve"> </w:t>
      </w:r>
      <w:proofErr w:type="spellStart"/>
      <w:r>
        <w:t>Finbarr</w:t>
      </w:r>
      <w:proofErr w:type="spellEnd"/>
      <w:r>
        <w:t xml:space="preserve"> Clancy, “Imitating the mysteries that you celebrate: martyrdom and Eucharist in the early Patristic period,” </w:t>
      </w:r>
      <w:r>
        <w:rPr>
          <w:rFonts w:ascii="Verdana" w:hAnsi="Verdana"/>
          <w:sz w:val="18"/>
          <w:szCs w:val="18"/>
        </w:rPr>
        <w:t xml:space="preserve">The Great Persecution: The Proceedings of the Fifth Patristics Conference, </w:t>
      </w:r>
      <w:proofErr w:type="spellStart"/>
      <w:r>
        <w:rPr>
          <w:rFonts w:ascii="Verdana" w:hAnsi="Verdana"/>
          <w:sz w:val="18"/>
          <w:szCs w:val="18"/>
        </w:rPr>
        <w:t>Maynooth</w:t>
      </w:r>
      <w:proofErr w:type="spellEnd"/>
      <w:r>
        <w:rPr>
          <w:rFonts w:ascii="Verdana" w:hAnsi="Verdana"/>
          <w:sz w:val="18"/>
          <w:szCs w:val="18"/>
        </w:rPr>
        <w:t xml:space="preserve">, 2003, eds. D. Vincent </w:t>
      </w:r>
      <w:proofErr w:type="spellStart"/>
      <w:r>
        <w:rPr>
          <w:rFonts w:ascii="Verdana" w:hAnsi="Verdana"/>
          <w:sz w:val="18"/>
          <w:szCs w:val="18"/>
        </w:rPr>
        <w:t>Twomey</w:t>
      </w:r>
      <w:proofErr w:type="spellEnd"/>
      <w:r>
        <w:rPr>
          <w:rFonts w:ascii="Verdana" w:hAnsi="Verdana"/>
          <w:sz w:val="18"/>
          <w:szCs w:val="18"/>
        </w:rPr>
        <w:t xml:space="preserve"> SVD and Mark Humphries. Dublin: Four Courts Press (2009), pp. 106-140</w:t>
      </w:r>
    </w:p>
  </w:footnote>
  <w:footnote w:id="3">
    <w:p w:rsidR="0052214F" w:rsidRPr="0052214F" w:rsidRDefault="0052214F">
      <w:pPr>
        <w:pStyle w:val="FootnoteText"/>
      </w:pPr>
      <w:r>
        <w:rPr>
          <w:rStyle w:val="FootnoteReference"/>
        </w:rPr>
        <w:footnoteRef/>
      </w:r>
      <w:r>
        <w:t xml:space="preserve"> Origen, </w:t>
      </w:r>
      <w:r>
        <w:rPr>
          <w:i/>
        </w:rPr>
        <w:t xml:space="preserve">Homilies on </w:t>
      </w:r>
      <w:r w:rsidR="00B47059">
        <w:rPr>
          <w:i/>
        </w:rPr>
        <w:t>Leviticus</w:t>
      </w:r>
      <w:r>
        <w:t xml:space="preserve"> (FC 83:37, trans. Gary Barkley</w:t>
      </w:r>
      <w:r w:rsidR="00B47059">
        <w:t>) p. 37.</w:t>
      </w:r>
    </w:p>
  </w:footnote>
  <w:footnote w:id="4">
    <w:p w:rsidR="00981D3E" w:rsidRDefault="00981D3E" w:rsidP="00981D3E">
      <w:pPr>
        <w:pStyle w:val="FootnoteText"/>
      </w:pPr>
      <w:r>
        <w:rPr>
          <w:rStyle w:val="FootnoteReference"/>
        </w:rPr>
        <w:footnoteRef/>
      </w:r>
      <w:r>
        <w:t xml:space="preserve"> Augustine, Sermon 4</w:t>
      </w:r>
      <w:proofErr w:type="gramStart"/>
      <w:r>
        <w:t xml:space="preserve">,  </w:t>
      </w:r>
      <w:r>
        <w:rPr>
          <w:i/>
        </w:rPr>
        <w:t>Works</w:t>
      </w:r>
      <w:proofErr w:type="gramEnd"/>
      <w:r>
        <w:rPr>
          <w:i/>
        </w:rPr>
        <w:t xml:space="preserve"> of Augustine</w:t>
      </w:r>
      <w:r>
        <w:t xml:space="preserve"> III/1 trans. Hill, p. 206 (Brooklyn, New York: New City Press, 1990).</w:t>
      </w:r>
    </w:p>
  </w:footnote>
  <w:footnote w:id="5">
    <w:p w:rsidR="00AE209C" w:rsidRPr="00AE209C" w:rsidRDefault="00AE209C">
      <w:pPr>
        <w:pStyle w:val="FootnoteText"/>
      </w:pPr>
      <w:r>
        <w:rPr>
          <w:rStyle w:val="FootnoteReference"/>
        </w:rPr>
        <w:footnoteRef/>
      </w:r>
      <w:r>
        <w:t xml:space="preserve"> In his introduction to St. Peter </w:t>
      </w:r>
      <w:proofErr w:type="spellStart"/>
      <w:r>
        <w:t>Chrysologus</w:t>
      </w:r>
      <w:proofErr w:type="spellEnd"/>
      <w:r>
        <w:t xml:space="preserve">’ Sermons (FC Vol. 17, p. 3-4), George </w:t>
      </w:r>
      <w:proofErr w:type="spellStart"/>
      <w:r>
        <w:t>Ganss</w:t>
      </w:r>
      <w:proofErr w:type="spellEnd"/>
      <w:r>
        <w:t xml:space="preserve"> makes a distinction between homily (</w:t>
      </w:r>
      <w:proofErr w:type="spellStart"/>
      <w:r>
        <w:rPr>
          <w:i/>
        </w:rPr>
        <w:t>homilia</w:t>
      </w:r>
      <w:proofErr w:type="spellEnd"/>
      <w:r>
        <w:rPr>
          <w:i/>
        </w:rPr>
        <w:t xml:space="preserve">) </w:t>
      </w:r>
      <w:r>
        <w:t>and sermon (</w:t>
      </w:r>
      <w:proofErr w:type="spellStart"/>
      <w:r>
        <w:rPr>
          <w:i/>
        </w:rPr>
        <w:t>sermo</w:t>
      </w:r>
      <w:proofErr w:type="spellEnd"/>
      <w:r>
        <w:rPr>
          <w:i/>
        </w:rPr>
        <w:t>)</w:t>
      </w:r>
      <w:r>
        <w:t xml:space="preserve">, suggesting that St. Peter was crafting homilies rather than sermons; the distinction being that homilies are focused on explicating specific Scriptural passages, while sermons are devoted to a broader moral or doctrinal subject.  While it is clear that St. Peter is focused on Scripture and less so on doctrinal issues, the distinction between homily and sermon (other than a Greek and Latin derivation, respectively) was not recognized in the Patristic period.  Thus I will use ‘homily’ and ‘sermon’ </w:t>
      </w:r>
      <w:r w:rsidR="007F2A72">
        <w:t>interchangeably</w:t>
      </w:r>
      <w:r>
        <w:t>.</w:t>
      </w:r>
    </w:p>
  </w:footnote>
  <w:footnote w:id="6">
    <w:p w:rsidR="00DB7745" w:rsidRDefault="00DB7745">
      <w:pPr>
        <w:pStyle w:val="FootnoteText"/>
      </w:pPr>
      <w:r>
        <w:rPr>
          <w:rStyle w:val="FootnoteReference"/>
        </w:rPr>
        <w:footnoteRef/>
      </w:r>
      <w:r>
        <w:t xml:space="preserve"> Peter </w:t>
      </w:r>
      <w:proofErr w:type="spellStart"/>
      <w:r>
        <w:t>Sanlon</w:t>
      </w:r>
      <w:proofErr w:type="spellEnd"/>
      <w:r>
        <w:t xml:space="preserve">, </w:t>
      </w:r>
      <w:r>
        <w:rPr>
          <w:i/>
        </w:rPr>
        <w:t xml:space="preserve">Augustine’s Theology of Preaching </w:t>
      </w:r>
      <w:r>
        <w:t>(Minneapolis: Fortress Press, 2014), p. 12.</w:t>
      </w:r>
    </w:p>
  </w:footnote>
  <w:footnote w:id="7">
    <w:p w:rsidR="009F3630" w:rsidRDefault="009F3630">
      <w:pPr>
        <w:pStyle w:val="FootnoteText"/>
      </w:pPr>
      <w:r>
        <w:rPr>
          <w:rStyle w:val="FootnoteReference"/>
        </w:rPr>
        <w:footnoteRef/>
      </w:r>
      <w:r>
        <w:t xml:space="preserve"> Ibid.</w:t>
      </w:r>
    </w:p>
  </w:footnote>
  <w:footnote w:id="8">
    <w:p w:rsidR="00AE209C" w:rsidRDefault="00AE209C">
      <w:pPr>
        <w:pStyle w:val="FootnoteText"/>
      </w:pPr>
      <w:r>
        <w:rPr>
          <w:rStyle w:val="FootnoteReference"/>
        </w:rPr>
        <w:footnoteRef/>
      </w:r>
      <w:r>
        <w:t xml:space="preserve"> See for example, near the conclusion of </w:t>
      </w:r>
      <w:r w:rsidR="00EF774F">
        <w:t>the third sermon: “…</w:t>
      </w:r>
      <w:r>
        <w:t>we are already planning to explain the hidden symbolic mystery”</w:t>
      </w:r>
      <w:r w:rsidR="00E57DBD">
        <w:t xml:space="preserve"> (CUA Vol. 17, p. 39, trans. </w:t>
      </w:r>
      <w:proofErr w:type="spellStart"/>
      <w:r w:rsidR="00E57DBD">
        <w:t>Ganss</w:t>
      </w:r>
      <w:proofErr w:type="spellEnd"/>
      <w:r w:rsidR="00E57DBD">
        <w:t>)</w:t>
      </w:r>
      <w:r>
        <w:t xml:space="preserve">; a plan fulfilled in </w:t>
      </w:r>
      <w:r w:rsidR="00EF774F">
        <w:t xml:space="preserve">the fifth sermon: </w:t>
      </w:r>
      <w:r w:rsidR="00E57DBD">
        <w:t xml:space="preserve"> “This is our fifth sermon…in it we shall try, as we have promised, to raise its historical sense to a mystical and extraordinary sense…” (CUA Vol. 17, p. 43-33, trans. </w:t>
      </w:r>
      <w:proofErr w:type="spellStart"/>
      <w:r w:rsidR="00E57DBD">
        <w:t>Ganss</w:t>
      </w:r>
      <w:proofErr w:type="spellEnd"/>
      <w:r w:rsidR="00E57DBD">
        <w:t>)</w:t>
      </w:r>
    </w:p>
  </w:footnote>
  <w:footnote w:id="9">
    <w:p w:rsidR="00B23C46" w:rsidRPr="00B23C46" w:rsidRDefault="00B23C46">
      <w:pPr>
        <w:pStyle w:val="FootnoteText"/>
      </w:pPr>
      <w:r>
        <w:rPr>
          <w:rStyle w:val="FootnoteReference"/>
        </w:rPr>
        <w:footnoteRef/>
      </w:r>
      <w:r>
        <w:t xml:space="preserve"> Johannes </w:t>
      </w:r>
      <w:proofErr w:type="spellStart"/>
      <w:r>
        <w:t>Quasten</w:t>
      </w:r>
      <w:proofErr w:type="spellEnd"/>
      <w:r>
        <w:t xml:space="preserve">, </w:t>
      </w:r>
      <w:proofErr w:type="spellStart"/>
      <w:r>
        <w:rPr>
          <w:i/>
        </w:rPr>
        <w:t>Patrology</w:t>
      </w:r>
      <w:proofErr w:type="spellEnd"/>
      <w:r>
        <w:t xml:space="preserve"> </w:t>
      </w:r>
      <w:proofErr w:type="spellStart"/>
      <w:r>
        <w:t>Vol</w:t>
      </w:r>
      <w:proofErr w:type="spellEnd"/>
      <w:r>
        <w:t xml:space="preserve"> IV, p.576 (Allen, Texas: </w:t>
      </w:r>
      <w:r w:rsidR="004C3B0C">
        <w:t>Christi</w:t>
      </w:r>
      <w:r w:rsidR="00CA1250">
        <w:t>a</w:t>
      </w:r>
      <w:r w:rsidR="004C3B0C">
        <w:t>n Classics, 1983)</w:t>
      </w:r>
    </w:p>
  </w:footnote>
  <w:footnote w:id="10">
    <w:p w:rsidR="00062F03" w:rsidRDefault="00062F03">
      <w:pPr>
        <w:pStyle w:val="FootnoteText"/>
      </w:pPr>
      <w:r>
        <w:rPr>
          <w:rStyle w:val="FootnoteReference"/>
        </w:rPr>
        <w:footnoteRef/>
      </w:r>
      <w:r>
        <w:t xml:space="preserve"> </w:t>
      </w:r>
      <w:proofErr w:type="gramStart"/>
      <w:r>
        <w:t xml:space="preserve">Peter </w:t>
      </w:r>
      <w:proofErr w:type="spellStart"/>
      <w:r>
        <w:t>Chrysologus</w:t>
      </w:r>
      <w:proofErr w:type="spellEnd"/>
      <w:r>
        <w:t xml:space="preserve">, Sermon </w:t>
      </w:r>
      <w:r w:rsidR="00C54DE6">
        <w:t xml:space="preserve">109, FC Vol17, p. 171, trans. </w:t>
      </w:r>
      <w:proofErr w:type="spellStart"/>
      <w:r w:rsidR="00C54DE6">
        <w:t>Ga</w:t>
      </w:r>
      <w:r>
        <w:t>nss</w:t>
      </w:r>
      <w:proofErr w:type="spellEnd"/>
      <w:r>
        <w:t>.</w:t>
      </w:r>
      <w:proofErr w:type="gramEnd"/>
    </w:p>
  </w:footnote>
  <w:footnote w:id="11">
    <w:p w:rsidR="00D832CB" w:rsidRDefault="00D832CB">
      <w:pPr>
        <w:pStyle w:val="FootnoteText"/>
      </w:pPr>
      <w:r>
        <w:rPr>
          <w:rStyle w:val="FootnoteReference"/>
        </w:rPr>
        <w:footnoteRef/>
      </w:r>
      <w:r>
        <w:t xml:space="preserve"> PL 499-500</w:t>
      </w:r>
    </w:p>
  </w:footnote>
  <w:footnote w:id="12">
    <w:p w:rsidR="00670EB5" w:rsidRDefault="00670EB5">
      <w:pPr>
        <w:pStyle w:val="FootnoteText"/>
      </w:pPr>
      <w:r>
        <w:rPr>
          <w:rStyle w:val="FootnoteReference"/>
        </w:rPr>
        <w:footnoteRef/>
      </w:r>
      <w:r>
        <w:t xml:space="preserve"> </w:t>
      </w:r>
      <w:proofErr w:type="gramStart"/>
      <w:r>
        <w:t xml:space="preserve">St. Peter </w:t>
      </w:r>
      <w:proofErr w:type="spellStart"/>
      <w:r>
        <w:t>Chrysologus</w:t>
      </w:r>
      <w:proofErr w:type="spellEnd"/>
      <w:r>
        <w:t xml:space="preserve">, Sermon 108, FC </w:t>
      </w:r>
      <w:proofErr w:type="spellStart"/>
      <w:r>
        <w:t>Vol</w:t>
      </w:r>
      <w:proofErr w:type="spellEnd"/>
      <w:r>
        <w:t xml:space="preserve"> 17, p. 168, trans. </w:t>
      </w:r>
      <w:proofErr w:type="spellStart"/>
      <w:r>
        <w:t>Ganss</w:t>
      </w:r>
      <w:proofErr w:type="spellEnd"/>
      <w:r>
        <w:t>.</w:t>
      </w:r>
      <w:proofErr w:type="gramEnd"/>
    </w:p>
  </w:footnote>
  <w:footnote w:id="13">
    <w:p w:rsidR="00670EB5" w:rsidRDefault="00670EB5">
      <w:pPr>
        <w:pStyle w:val="FootnoteText"/>
      </w:pPr>
      <w:r>
        <w:rPr>
          <w:rStyle w:val="FootnoteReference"/>
        </w:rPr>
        <w:footnoteRef/>
      </w:r>
      <w:r>
        <w:t xml:space="preserve"> Ibid.</w:t>
      </w:r>
    </w:p>
  </w:footnote>
  <w:footnote w:id="14">
    <w:p w:rsidR="00C63D84" w:rsidRDefault="00C63D84">
      <w:pPr>
        <w:pStyle w:val="FootnoteText"/>
      </w:pPr>
      <w:r>
        <w:rPr>
          <w:rStyle w:val="FootnoteReference"/>
        </w:rPr>
        <w:footnoteRef/>
      </w:r>
      <w:r>
        <w:t xml:space="preserve"> </w:t>
      </w:r>
      <w:proofErr w:type="gramStart"/>
      <w:r>
        <w:t>Ibid.,</w:t>
      </w:r>
      <w:proofErr w:type="gramEnd"/>
      <w:r>
        <w:t xml:space="preserve"> 169.</w:t>
      </w:r>
    </w:p>
  </w:footnote>
  <w:footnote w:id="15">
    <w:p w:rsidR="00482BA4" w:rsidRDefault="00482BA4">
      <w:pPr>
        <w:pStyle w:val="FootnoteText"/>
      </w:pPr>
      <w:r>
        <w:rPr>
          <w:rStyle w:val="FootnoteReference"/>
        </w:rPr>
        <w:footnoteRef/>
      </w:r>
      <w:r>
        <w:t xml:space="preserve"> </w:t>
      </w:r>
      <w:proofErr w:type="gramStart"/>
      <w:r>
        <w:t>Ibid.,</w:t>
      </w:r>
      <w:proofErr w:type="gramEnd"/>
      <w:r>
        <w:t xml:space="preserve"> p. 170.</w:t>
      </w:r>
    </w:p>
  </w:footnote>
  <w:footnote w:id="16">
    <w:p w:rsidR="006042BD" w:rsidRDefault="006042BD">
      <w:pPr>
        <w:pStyle w:val="FootnoteText"/>
      </w:pPr>
      <w:r>
        <w:rPr>
          <w:rStyle w:val="FootnoteReference"/>
        </w:rPr>
        <w:footnoteRef/>
      </w:r>
      <w:r>
        <w:t xml:space="preserve"> Ibid.</w:t>
      </w:r>
    </w:p>
  </w:footnote>
  <w:footnote w:id="17">
    <w:p w:rsidR="00B3016F" w:rsidRDefault="00B3016F">
      <w:pPr>
        <w:pStyle w:val="FootnoteText"/>
      </w:pPr>
      <w:r>
        <w:rPr>
          <w:rStyle w:val="FootnoteReference"/>
        </w:rPr>
        <w:footnoteRef/>
      </w:r>
      <w:r>
        <w:t xml:space="preserve"> Sermon 109, p. 171.</w:t>
      </w:r>
    </w:p>
  </w:footnote>
  <w:footnote w:id="18">
    <w:p w:rsidR="00182977" w:rsidRDefault="00182977">
      <w:pPr>
        <w:pStyle w:val="FootnoteText"/>
      </w:pPr>
      <w:r>
        <w:rPr>
          <w:rStyle w:val="FootnoteReference"/>
        </w:rPr>
        <w:footnoteRef/>
      </w:r>
      <w:r>
        <w:t xml:space="preserve"> Ibid.</w:t>
      </w:r>
    </w:p>
  </w:footnote>
  <w:footnote w:id="19">
    <w:p w:rsidR="00182977" w:rsidRDefault="00182977">
      <w:pPr>
        <w:pStyle w:val="FootnoteText"/>
      </w:pPr>
      <w:r>
        <w:rPr>
          <w:rStyle w:val="FootnoteReference"/>
        </w:rPr>
        <w:footnoteRef/>
      </w:r>
      <w:r>
        <w:t xml:space="preserve"> </w:t>
      </w:r>
      <w:proofErr w:type="gramStart"/>
      <w:r>
        <w:t>Ibid.,</w:t>
      </w:r>
      <w:proofErr w:type="gramEnd"/>
      <w:r>
        <w:t xml:space="preserve"> p. 172.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0B7"/>
    <w:rsid w:val="000109DE"/>
    <w:rsid w:val="00062F03"/>
    <w:rsid w:val="00065C16"/>
    <w:rsid w:val="00081964"/>
    <w:rsid w:val="000B0F8A"/>
    <w:rsid w:val="000C0E05"/>
    <w:rsid w:val="00114623"/>
    <w:rsid w:val="00132EC0"/>
    <w:rsid w:val="0016193E"/>
    <w:rsid w:val="00173E13"/>
    <w:rsid w:val="00182977"/>
    <w:rsid w:val="001969DF"/>
    <w:rsid w:val="00205460"/>
    <w:rsid w:val="002638E7"/>
    <w:rsid w:val="00270A6A"/>
    <w:rsid w:val="002A60DC"/>
    <w:rsid w:val="002C610B"/>
    <w:rsid w:val="00306F8D"/>
    <w:rsid w:val="0031232B"/>
    <w:rsid w:val="00334E83"/>
    <w:rsid w:val="00336898"/>
    <w:rsid w:val="003440C3"/>
    <w:rsid w:val="00357501"/>
    <w:rsid w:val="0036733E"/>
    <w:rsid w:val="0039059F"/>
    <w:rsid w:val="003B1C9A"/>
    <w:rsid w:val="003D58F2"/>
    <w:rsid w:val="003F1E3D"/>
    <w:rsid w:val="003F23F3"/>
    <w:rsid w:val="004151FA"/>
    <w:rsid w:val="00416D94"/>
    <w:rsid w:val="00421D2B"/>
    <w:rsid w:val="0046119C"/>
    <w:rsid w:val="00482BA4"/>
    <w:rsid w:val="0048370B"/>
    <w:rsid w:val="004C3B0C"/>
    <w:rsid w:val="0052214F"/>
    <w:rsid w:val="0056796C"/>
    <w:rsid w:val="005720AE"/>
    <w:rsid w:val="00582A74"/>
    <w:rsid w:val="00587436"/>
    <w:rsid w:val="005906CC"/>
    <w:rsid w:val="005B0641"/>
    <w:rsid w:val="005F6237"/>
    <w:rsid w:val="006042BD"/>
    <w:rsid w:val="006300B7"/>
    <w:rsid w:val="00670EB5"/>
    <w:rsid w:val="007777D1"/>
    <w:rsid w:val="007848AA"/>
    <w:rsid w:val="00786E0B"/>
    <w:rsid w:val="007C5976"/>
    <w:rsid w:val="007F2A72"/>
    <w:rsid w:val="00844E4D"/>
    <w:rsid w:val="0085680E"/>
    <w:rsid w:val="00856A85"/>
    <w:rsid w:val="008D586E"/>
    <w:rsid w:val="008D70A8"/>
    <w:rsid w:val="008F423B"/>
    <w:rsid w:val="00981D3E"/>
    <w:rsid w:val="009D1938"/>
    <w:rsid w:val="009E2F8D"/>
    <w:rsid w:val="009F3630"/>
    <w:rsid w:val="00A11908"/>
    <w:rsid w:val="00A363DA"/>
    <w:rsid w:val="00A6169C"/>
    <w:rsid w:val="00A827E0"/>
    <w:rsid w:val="00AD79B6"/>
    <w:rsid w:val="00AE209C"/>
    <w:rsid w:val="00AF0518"/>
    <w:rsid w:val="00B13470"/>
    <w:rsid w:val="00B23C46"/>
    <w:rsid w:val="00B3016F"/>
    <w:rsid w:val="00B47059"/>
    <w:rsid w:val="00B94632"/>
    <w:rsid w:val="00C2337D"/>
    <w:rsid w:val="00C34859"/>
    <w:rsid w:val="00C54DE6"/>
    <w:rsid w:val="00C63D84"/>
    <w:rsid w:val="00CA1250"/>
    <w:rsid w:val="00CE3507"/>
    <w:rsid w:val="00D16548"/>
    <w:rsid w:val="00D44BC5"/>
    <w:rsid w:val="00D47F96"/>
    <w:rsid w:val="00D76AAF"/>
    <w:rsid w:val="00D77F59"/>
    <w:rsid w:val="00D832CB"/>
    <w:rsid w:val="00DB153F"/>
    <w:rsid w:val="00DB7745"/>
    <w:rsid w:val="00E03B5E"/>
    <w:rsid w:val="00E07D71"/>
    <w:rsid w:val="00E16144"/>
    <w:rsid w:val="00E27348"/>
    <w:rsid w:val="00E275C4"/>
    <w:rsid w:val="00E50DA5"/>
    <w:rsid w:val="00E57DBD"/>
    <w:rsid w:val="00EB6BB6"/>
    <w:rsid w:val="00EE5F84"/>
    <w:rsid w:val="00EF774F"/>
    <w:rsid w:val="00F22709"/>
    <w:rsid w:val="00F8404E"/>
    <w:rsid w:val="00FA55FF"/>
    <w:rsid w:val="00FE1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title">
    <w:name w:val="cit-title"/>
    <w:basedOn w:val="DefaultParagraphFont"/>
    <w:rsid w:val="006300B7"/>
  </w:style>
  <w:style w:type="character" w:customStyle="1" w:styleId="site-title">
    <w:name w:val="site-title"/>
    <w:basedOn w:val="DefaultParagraphFont"/>
    <w:rsid w:val="006300B7"/>
  </w:style>
  <w:style w:type="character" w:customStyle="1" w:styleId="apple-converted-space">
    <w:name w:val="apple-converted-space"/>
    <w:basedOn w:val="DefaultParagraphFont"/>
    <w:rsid w:val="006300B7"/>
  </w:style>
  <w:style w:type="character" w:customStyle="1" w:styleId="cit-print-date">
    <w:name w:val="cit-print-date"/>
    <w:basedOn w:val="DefaultParagraphFont"/>
    <w:rsid w:val="006300B7"/>
  </w:style>
  <w:style w:type="character" w:customStyle="1" w:styleId="cit-vol">
    <w:name w:val="cit-vol"/>
    <w:basedOn w:val="DefaultParagraphFont"/>
    <w:rsid w:val="006300B7"/>
  </w:style>
  <w:style w:type="character" w:customStyle="1" w:styleId="cit-sep">
    <w:name w:val="cit-sep"/>
    <w:basedOn w:val="DefaultParagraphFont"/>
    <w:rsid w:val="006300B7"/>
  </w:style>
  <w:style w:type="character" w:customStyle="1" w:styleId="cit-first-page">
    <w:name w:val="cit-first-page"/>
    <w:basedOn w:val="DefaultParagraphFont"/>
    <w:rsid w:val="006300B7"/>
  </w:style>
  <w:style w:type="character" w:customStyle="1" w:styleId="cit-last-page">
    <w:name w:val="cit-last-page"/>
    <w:basedOn w:val="DefaultParagraphFont"/>
    <w:rsid w:val="006300B7"/>
  </w:style>
  <w:style w:type="character" w:styleId="Hyperlink">
    <w:name w:val="Hyperlink"/>
    <w:basedOn w:val="DefaultParagraphFont"/>
    <w:uiPriority w:val="99"/>
    <w:unhideWhenUsed/>
    <w:rsid w:val="005B0641"/>
    <w:rPr>
      <w:color w:val="0000FF" w:themeColor="hyperlink"/>
      <w:u w:val="single"/>
    </w:rPr>
  </w:style>
  <w:style w:type="paragraph" w:styleId="Header">
    <w:name w:val="header"/>
    <w:basedOn w:val="Normal"/>
    <w:link w:val="HeaderChar"/>
    <w:uiPriority w:val="99"/>
    <w:unhideWhenUsed/>
    <w:rsid w:val="00856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A85"/>
  </w:style>
  <w:style w:type="paragraph" w:styleId="Footer">
    <w:name w:val="footer"/>
    <w:basedOn w:val="Normal"/>
    <w:link w:val="FooterChar"/>
    <w:uiPriority w:val="99"/>
    <w:unhideWhenUsed/>
    <w:rsid w:val="00856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A85"/>
  </w:style>
  <w:style w:type="paragraph" w:styleId="BalloonText">
    <w:name w:val="Balloon Text"/>
    <w:basedOn w:val="Normal"/>
    <w:link w:val="BalloonTextChar"/>
    <w:uiPriority w:val="99"/>
    <w:semiHidden/>
    <w:unhideWhenUsed/>
    <w:rsid w:val="00856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A85"/>
    <w:rPr>
      <w:rFonts w:ascii="Tahoma" w:hAnsi="Tahoma" w:cs="Tahoma"/>
      <w:sz w:val="16"/>
      <w:szCs w:val="16"/>
    </w:rPr>
  </w:style>
  <w:style w:type="paragraph" w:styleId="FootnoteText">
    <w:name w:val="footnote text"/>
    <w:basedOn w:val="Normal"/>
    <w:link w:val="FootnoteTextChar"/>
    <w:uiPriority w:val="99"/>
    <w:semiHidden/>
    <w:unhideWhenUsed/>
    <w:rsid w:val="00DB77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7745"/>
    <w:rPr>
      <w:sz w:val="20"/>
      <w:szCs w:val="20"/>
    </w:rPr>
  </w:style>
  <w:style w:type="character" w:styleId="FootnoteReference">
    <w:name w:val="footnote reference"/>
    <w:basedOn w:val="DefaultParagraphFont"/>
    <w:uiPriority w:val="99"/>
    <w:semiHidden/>
    <w:unhideWhenUsed/>
    <w:rsid w:val="00DB7745"/>
    <w:rPr>
      <w:vertAlign w:val="superscript"/>
    </w:rPr>
  </w:style>
  <w:style w:type="paragraph" w:styleId="EndnoteText">
    <w:name w:val="endnote text"/>
    <w:basedOn w:val="Normal"/>
    <w:link w:val="EndnoteTextChar"/>
    <w:uiPriority w:val="99"/>
    <w:semiHidden/>
    <w:unhideWhenUsed/>
    <w:rsid w:val="009F36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3630"/>
    <w:rPr>
      <w:sz w:val="20"/>
      <w:szCs w:val="20"/>
    </w:rPr>
  </w:style>
  <w:style w:type="character" w:styleId="EndnoteReference">
    <w:name w:val="endnote reference"/>
    <w:basedOn w:val="DefaultParagraphFont"/>
    <w:uiPriority w:val="99"/>
    <w:semiHidden/>
    <w:unhideWhenUsed/>
    <w:rsid w:val="009F3630"/>
    <w:rPr>
      <w:vertAlign w:val="superscript"/>
    </w:rPr>
  </w:style>
  <w:style w:type="character" w:customStyle="1" w:styleId="a">
    <w:name w:val="a"/>
    <w:basedOn w:val="DefaultParagraphFont"/>
    <w:rsid w:val="007777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title">
    <w:name w:val="cit-title"/>
    <w:basedOn w:val="DefaultParagraphFont"/>
    <w:rsid w:val="006300B7"/>
  </w:style>
  <w:style w:type="character" w:customStyle="1" w:styleId="site-title">
    <w:name w:val="site-title"/>
    <w:basedOn w:val="DefaultParagraphFont"/>
    <w:rsid w:val="006300B7"/>
  </w:style>
  <w:style w:type="character" w:customStyle="1" w:styleId="apple-converted-space">
    <w:name w:val="apple-converted-space"/>
    <w:basedOn w:val="DefaultParagraphFont"/>
    <w:rsid w:val="006300B7"/>
  </w:style>
  <w:style w:type="character" w:customStyle="1" w:styleId="cit-print-date">
    <w:name w:val="cit-print-date"/>
    <w:basedOn w:val="DefaultParagraphFont"/>
    <w:rsid w:val="006300B7"/>
  </w:style>
  <w:style w:type="character" w:customStyle="1" w:styleId="cit-vol">
    <w:name w:val="cit-vol"/>
    <w:basedOn w:val="DefaultParagraphFont"/>
    <w:rsid w:val="006300B7"/>
  </w:style>
  <w:style w:type="character" w:customStyle="1" w:styleId="cit-sep">
    <w:name w:val="cit-sep"/>
    <w:basedOn w:val="DefaultParagraphFont"/>
    <w:rsid w:val="006300B7"/>
  </w:style>
  <w:style w:type="character" w:customStyle="1" w:styleId="cit-first-page">
    <w:name w:val="cit-first-page"/>
    <w:basedOn w:val="DefaultParagraphFont"/>
    <w:rsid w:val="006300B7"/>
  </w:style>
  <w:style w:type="character" w:customStyle="1" w:styleId="cit-last-page">
    <w:name w:val="cit-last-page"/>
    <w:basedOn w:val="DefaultParagraphFont"/>
    <w:rsid w:val="006300B7"/>
  </w:style>
  <w:style w:type="character" w:styleId="Hyperlink">
    <w:name w:val="Hyperlink"/>
    <w:basedOn w:val="DefaultParagraphFont"/>
    <w:uiPriority w:val="99"/>
    <w:unhideWhenUsed/>
    <w:rsid w:val="005B0641"/>
    <w:rPr>
      <w:color w:val="0000FF" w:themeColor="hyperlink"/>
      <w:u w:val="single"/>
    </w:rPr>
  </w:style>
  <w:style w:type="paragraph" w:styleId="Header">
    <w:name w:val="header"/>
    <w:basedOn w:val="Normal"/>
    <w:link w:val="HeaderChar"/>
    <w:uiPriority w:val="99"/>
    <w:unhideWhenUsed/>
    <w:rsid w:val="00856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A85"/>
  </w:style>
  <w:style w:type="paragraph" w:styleId="Footer">
    <w:name w:val="footer"/>
    <w:basedOn w:val="Normal"/>
    <w:link w:val="FooterChar"/>
    <w:uiPriority w:val="99"/>
    <w:unhideWhenUsed/>
    <w:rsid w:val="00856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A85"/>
  </w:style>
  <w:style w:type="paragraph" w:styleId="BalloonText">
    <w:name w:val="Balloon Text"/>
    <w:basedOn w:val="Normal"/>
    <w:link w:val="BalloonTextChar"/>
    <w:uiPriority w:val="99"/>
    <w:semiHidden/>
    <w:unhideWhenUsed/>
    <w:rsid w:val="00856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A85"/>
    <w:rPr>
      <w:rFonts w:ascii="Tahoma" w:hAnsi="Tahoma" w:cs="Tahoma"/>
      <w:sz w:val="16"/>
      <w:szCs w:val="16"/>
    </w:rPr>
  </w:style>
  <w:style w:type="paragraph" w:styleId="FootnoteText">
    <w:name w:val="footnote text"/>
    <w:basedOn w:val="Normal"/>
    <w:link w:val="FootnoteTextChar"/>
    <w:uiPriority w:val="99"/>
    <w:semiHidden/>
    <w:unhideWhenUsed/>
    <w:rsid w:val="00DB77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7745"/>
    <w:rPr>
      <w:sz w:val="20"/>
      <w:szCs w:val="20"/>
    </w:rPr>
  </w:style>
  <w:style w:type="character" w:styleId="FootnoteReference">
    <w:name w:val="footnote reference"/>
    <w:basedOn w:val="DefaultParagraphFont"/>
    <w:uiPriority w:val="99"/>
    <w:semiHidden/>
    <w:unhideWhenUsed/>
    <w:rsid w:val="00DB7745"/>
    <w:rPr>
      <w:vertAlign w:val="superscript"/>
    </w:rPr>
  </w:style>
  <w:style w:type="paragraph" w:styleId="EndnoteText">
    <w:name w:val="endnote text"/>
    <w:basedOn w:val="Normal"/>
    <w:link w:val="EndnoteTextChar"/>
    <w:uiPriority w:val="99"/>
    <w:semiHidden/>
    <w:unhideWhenUsed/>
    <w:rsid w:val="009F36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3630"/>
    <w:rPr>
      <w:sz w:val="20"/>
      <w:szCs w:val="20"/>
    </w:rPr>
  </w:style>
  <w:style w:type="character" w:styleId="EndnoteReference">
    <w:name w:val="endnote reference"/>
    <w:basedOn w:val="DefaultParagraphFont"/>
    <w:uiPriority w:val="99"/>
    <w:semiHidden/>
    <w:unhideWhenUsed/>
    <w:rsid w:val="009F3630"/>
    <w:rPr>
      <w:vertAlign w:val="superscript"/>
    </w:rPr>
  </w:style>
  <w:style w:type="character" w:customStyle="1" w:styleId="a">
    <w:name w:val="a"/>
    <w:basedOn w:val="DefaultParagraphFont"/>
    <w:rsid w:val="00777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432036">
      <w:bodyDiv w:val="1"/>
      <w:marLeft w:val="0"/>
      <w:marRight w:val="0"/>
      <w:marTop w:val="0"/>
      <w:marBottom w:val="0"/>
      <w:divBdr>
        <w:top w:val="none" w:sz="0" w:space="0" w:color="auto"/>
        <w:left w:val="none" w:sz="0" w:space="0" w:color="auto"/>
        <w:bottom w:val="none" w:sz="0" w:space="0" w:color="auto"/>
        <w:right w:val="none" w:sz="0" w:space="0" w:color="auto"/>
      </w:divBdr>
      <w:divsChild>
        <w:div w:id="1883864978">
          <w:marLeft w:val="0"/>
          <w:marRight w:val="0"/>
          <w:marTop w:val="0"/>
          <w:marBottom w:val="0"/>
          <w:divBdr>
            <w:top w:val="none" w:sz="0" w:space="0" w:color="auto"/>
            <w:left w:val="none" w:sz="0" w:space="0" w:color="auto"/>
            <w:bottom w:val="none" w:sz="0" w:space="0" w:color="auto"/>
            <w:right w:val="none" w:sz="0" w:space="0" w:color="auto"/>
          </w:divBdr>
        </w:div>
        <w:div w:id="615142249">
          <w:marLeft w:val="0"/>
          <w:marRight w:val="0"/>
          <w:marTop w:val="0"/>
          <w:marBottom w:val="0"/>
          <w:divBdr>
            <w:top w:val="none" w:sz="0" w:space="0" w:color="auto"/>
            <w:left w:val="none" w:sz="0" w:space="0" w:color="auto"/>
            <w:bottom w:val="none" w:sz="0" w:space="0" w:color="auto"/>
            <w:right w:val="none" w:sz="0" w:space="0" w:color="auto"/>
          </w:divBdr>
        </w:div>
        <w:div w:id="1924869739">
          <w:marLeft w:val="0"/>
          <w:marRight w:val="0"/>
          <w:marTop w:val="0"/>
          <w:marBottom w:val="0"/>
          <w:divBdr>
            <w:top w:val="none" w:sz="0" w:space="0" w:color="auto"/>
            <w:left w:val="none" w:sz="0" w:space="0" w:color="auto"/>
            <w:bottom w:val="none" w:sz="0" w:space="0" w:color="auto"/>
            <w:right w:val="none" w:sz="0" w:space="0" w:color="auto"/>
          </w:divBdr>
        </w:div>
        <w:div w:id="1469936952">
          <w:marLeft w:val="0"/>
          <w:marRight w:val="0"/>
          <w:marTop w:val="0"/>
          <w:marBottom w:val="0"/>
          <w:divBdr>
            <w:top w:val="none" w:sz="0" w:space="0" w:color="auto"/>
            <w:left w:val="none" w:sz="0" w:space="0" w:color="auto"/>
            <w:bottom w:val="none" w:sz="0" w:space="0" w:color="auto"/>
            <w:right w:val="none" w:sz="0" w:space="0" w:color="auto"/>
          </w:divBdr>
        </w:div>
        <w:div w:id="586157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thahn.com/download/attachment/340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CBB27-C545-4E5C-AD5C-AE668E16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6</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12689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AOrlando</dc:creator>
  <cp:lastModifiedBy>AOrlando</cp:lastModifiedBy>
  <cp:revision>65</cp:revision>
  <dcterms:created xsi:type="dcterms:W3CDTF">2015-02-07T12:47:00Z</dcterms:created>
  <dcterms:modified xsi:type="dcterms:W3CDTF">2015-02-18T15:30:00Z</dcterms:modified>
</cp:coreProperties>
</file>