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99C" w:rsidRDefault="00D4299C" w:rsidP="00D4299C">
      <w:r w:rsidRPr="00D4299C">
        <w:rPr>
          <w:b/>
        </w:rPr>
        <w:t xml:space="preserve">Martin Luther, </w:t>
      </w:r>
      <w:r w:rsidRPr="00D4299C">
        <w:rPr>
          <w:b/>
          <w:i/>
        </w:rPr>
        <w:t>Against Scholastic Theology</w:t>
      </w:r>
      <w:r w:rsidR="00B13D24">
        <w:rPr>
          <w:b/>
          <w:i/>
        </w:rPr>
        <w:t xml:space="preserve">; </w:t>
      </w:r>
      <w:r>
        <w:t xml:space="preserve">From </w:t>
      </w:r>
      <w:r>
        <w:rPr>
          <w:i/>
        </w:rPr>
        <w:t xml:space="preserve">Basic Theological Writings of Martin Luther, </w:t>
      </w:r>
      <w:r>
        <w:t xml:space="preserve">Ed. and </w:t>
      </w:r>
      <w:r w:rsidR="00B13D24">
        <w:t>Tr</w:t>
      </w:r>
      <w:r>
        <w:t>. Timothy Lull</w:t>
      </w:r>
    </w:p>
    <w:p w:rsidR="00D4299C" w:rsidRPr="00D4299C" w:rsidRDefault="00D4299C" w:rsidP="00D4299C">
      <w:pPr>
        <w:rPr>
          <w:b/>
          <w:lang w:val="la-Latn"/>
        </w:rPr>
      </w:pPr>
      <w:r w:rsidRPr="00D4299C">
        <w:rPr>
          <w:rStyle w:val="Strong"/>
          <w:b w:val="0"/>
          <w:lang w:val="la-Latn"/>
        </w:rPr>
        <w:t>34. In brief, man by nature has neither correct precept nor good will.</w:t>
      </w:r>
    </w:p>
    <w:p w:rsidR="00D4299C" w:rsidRDefault="00D4299C" w:rsidP="00D4299C">
      <w:pPr>
        <w:pStyle w:val="NormalWeb"/>
        <w:rPr>
          <w:lang w:val="la-Latn"/>
        </w:rPr>
      </w:pPr>
      <w:r>
        <w:rPr>
          <w:lang w:val="la-Latn"/>
        </w:rPr>
        <w:t>35. It is not true that an invincible ignorance excuses one completely (all scholastics notwithstanding);</w:t>
      </w:r>
    </w:p>
    <w:p w:rsidR="00D4299C" w:rsidRDefault="00D4299C" w:rsidP="00D4299C">
      <w:pPr>
        <w:pStyle w:val="NormalWeb"/>
        <w:rPr>
          <w:lang w:val="la-Latn"/>
        </w:rPr>
      </w:pPr>
      <w:r>
        <w:rPr>
          <w:lang w:val="la-Latn"/>
        </w:rPr>
        <w:t>36. For ignorance of God and oneself and good work is always invincible to nature.</w:t>
      </w:r>
    </w:p>
    <w:p w:rsidR="00D4299C" w:rsidRPr="00D4299C" w:rsidRDefault="00D4299C" w:rsidP="00D4299C">
      <w:pPr>
        <w:pStyle w:val="NormalWeb"/>
        <w:rPr>
          <w:b/>
          <w:lang w:val="la-Latn"/>
        </w:rPr>
      </w:pPr>
      <w:r w:rsidRPr="00D4299C">
        <w:rPr>
          <w:rStyle w:val="Strong"/>
          <w:b w:val="0"/>
          <w:lang w:val="la-Latn"/>
        </w:rPr>
        <w:t>37. Nature, moreover, inwardly and necessarily glories and takes pride in every work which is apparently and outwardly good.</w:t>
      </w:r>
    </w:p>
    <w:p w:rsidR="00D4299C" w:rsidRPr="00D4299C" w:rsidRDefault="00D4299C" w:rsidP="00D4299C">
      <w:pPr>
        <w:pStyle w:val="NormalWeb"/>
        <w:rPr>
          <w:b/>
          <w:lang w:val="la-Latn"/>
        </w:rPr>
      </w:pPr>
      <w:r w:rsidRPr="00D4299C">
        <w:rPr>
          <w:rStyle w:val="Strong"/>
          <w:b w:val="0"/>
          <w:lang w:val="la-Latn"/>
        </w:rPr>
        <w:t>38. There is no moral virtue without either pride or sorrow, that is, without sin.</w:t>
      </w:r>
    </w:p>
    <w:p w:rsidR="00D4299C" w:rsidRPr="00D4299C" w:rsidRDefault="00D4299C" w:rsidP="00D4299C">
      <w:pPr>
        <w:pStyle w:val="NormalWeb"/>
        <w:rPr>
          <w:b/>
          <w:lang w:val="la-Latn"/>
        </w:rPr>
      </w:pPr>
      <w:r w:rsidRPr="00D4299C">
        <w:rPr>
          <w:rStyle w:val="Strong"/>
          <w:b w:val="0"/>
          <w:lang w:val="la-Latn"/>
        </w:rPr>
        <w:t>39. We are not masters of our actions, from beginning to end, but servants. This is in opposition to the philosophers.</w:t>
      </w:r>
    </w:p>
    <w:p w:rsidR="00D4299C" w:rsidRDefault="00D4299C" w:rsidP="00D4299C">
      <w:pPr>
        <w:pStyle w:val="NormalWeb"/>
        <w:rPr>
          <w:lang w:val="la-Latn"/>
        </w:rPr>
      </w:pPr>
      <w:r>
        <w:rPr>
          <w:lang w:val="la-Latn"/>
        </w:rPr>
        <w:t>40. We do not become righteous by doing righteous deeds but, having been made rightous, we do righteous deeds. This in opposition to the philosophers.</w:t>
      </w:r>
    </w:p>
    <w:p w:rsidR="00D4299C" w:rsidRPr="00D4299C" w:rsidRDefault="00D4299C" w:rsidP="00D4299C">
      <w:pPr>
        <w:pStyle w:val="NormalWeb"/>
        <w:rPr>
          <w:b/>
          <w:lang w:val="la-Latn"/>
        </w:rPr>
      </w:pPr>
      <w:r w:rsidRPr="00D4299C">
        <w:rPr>
          <w:rStyle w:val="Strong"/>
          <w:b w:val="0"/>
          <w:lang w:val="la-Latn"/>
        </w:rPr>
        <w:t xml:space="preserve">41. Virtually the entire </w:t>
      </w:r>
      <w:r w:rsidRPr="00D4299C">
        <w:rPr>
          <w:rStyle w:val="Emphasis"/>
          <w:b/>
          <w:bCs/>
          <w:lang w:val="la-Latn"/>
        </w:rPr>
        <w:t>Ethics</w:t>
      </w:r>
      <w:r w:rsidRPr="00D4299C">
        <w:rPr>
          <w:rStyle w:val="Strong"/>
          <w:b w:val="0"/>
          <w:lang w:val="la-Latn"/>
        </w:rPr>
        <w:t xml:space="preserve"> of Aristotle is the worst enemy of grace. This is in opposition to the scholastics.</w:t>
      </w:r>
    </w:p>
    <w:p w:rsidR="00D4299C" w:rsidRDefault="00D4299C" w:rsidP="00D4299C">
      <w:pPr>
        <w:pStyle w:val="NormalWeb"/>
        <w:rPr>
          <w:lang w:val="la-Latn"/>
        </w:rPr>
      </w:pPr>
      <w:r>
        <w:rPr>
          <w:lang w:val="la-Latn"/>
        </w:rPr>
        <w:t>42. It is an error to maintain that Aristotle’s statement concerning happiness does not contradict Catholic doctrine. This is in opposition to the doctrine on morals.</w:t>
      </w:r>
    </w:p>
    <w:p w:rsidR="00D4299C" w:rsidRDefault="00D4299C" w:rsidP="00D4299C">
      <w:pPr>
        <w:pStyle w:val="NormalWeb"/>
        <w:rPr>
          <w:lang w:val="la-Latn"/>
        </w:rPr>
      </w:pPr>
      <w:r>
        <w:rPr>
          <w:lang w:val="la-Latn"/>
        </w:rPr>
        <w:t>43. It is an error to say that no man can become a theologian without Aristotle. This is in opposition to common opinion.</w:t>
      </w:r>
    </w:p>
    <w:p w:rsidR="00D4299C" w:rsidRDefault="00D4299C" w:rsidP="00D4299C">
      <w:pPr>
        <w:pStyle w:val="NormalWeb"/>
        <w:rPr>
          <w:lang w:val="la-Latn"/>
        </w:rPr>
      </w:pPr>
      <w:r>
        <w:rPr>
          <w:lang w:val="la-Latn"/>
        </w:rPr>
        <w:t>44. Indeed, no one can become a theologian unless he becomes one without Aristotle.</w:t>
      </w:r>
    </w:p>
    <w:p w:rsidR="00D4299C" w:rsidRDefault="00D4299C" w:rsidP="00D4299C">
      <w:pPr>
        <w:pStyle w:val="NormalWeb"/>
        <w:rPr>
          <w:lang w:val="la-Latn"/>
        </w:rPr>
      </w:pPr>
      <w:r>
        <w:rPr>
          <w:lang w:val="la-Latn"/>
        </w:rPr>
        <w:t>45. To state that a theologian who is not a logician is a monstruous heretic–this is a monstruous and heretical statement. This is in opposition to common opinion.</w:t>
      </w:r>
    </w:p>
    <w:p w:rsidR="00D4299C" w:rsidRDefault="00D4299C" w:rsidP="00D4299C">
      <w:pPr>
        <w:pStyle w:val="NormalWeb"/>
        <w:rPr>
          <w:lang w:val="la-Latn"/>
        </w:rPr>
      </w:pPr>
      <w:r>
        <w:rPr>
          <w:lang w:val="la-Latn"/>
        </w:rPr>
        <w:t>46. In vain does one fashion a logic of faith, a substitution brought about without regard for limit and measure. This is in opposition to the the new dialecticians.</w:t>
      </w:r>
    </w:p>
    <w:p w:rsidR="00D4299C" w:rsidRPr="00D4299C" w:rsidRDefault="00D4299C" w:rsidP="00D4299C">
      <w:pPr>
        <w:pStyle w:val="NormalWeb"/>
        <w:rPr>
          <w:b/>
          <w:lang w:val="la-Latn"/>
        </w:rPr>
      </w:pPr>
      <w:r w:rsidRPr="00D4299C">
        <w:rPr>
          <w:rStyle w:val="Strong"/>
          <w:b w:val="0"/>
          <w:lang w:val="la-Latn"/>
        </w:rPr>
        <w:t>47. No syllogistic form is valid when applied to divine terms. This is in opposition to the Cardinal [Peter of Ailly].</w:t>
      </w:r>
    </w:p>
    <w:p w:rsidR="00D4299C" w:rsidRPr="00D4299C" w:rsidRDefault="00D4299C" w:rsidP="00D4299C">
      <w:pPr>
        <w:pStyle w:val="NormalWeb"/>
        <w:rPr>
          <w:b/>
          <w:lang w:val="la-Latn"/>
        </w:rPr>
      </w:pPr>
      <w:r w:rsidRPr="00D4299C">
        <w:rPr>
          <w:rStyle w:val="Strong"/>
          <w:b w:val="0"/>
          <w:lang w:val="la-Latn"/>
        </w:rPr>
        <w:t>48. Nevertheless it does not for that reason follow that the truth of the doctrine of the Trinity contradicts syllogistic forms. This is in opposition to the same new dialecticians and to the Cardinal.</w:t>
      </w:r>
    </w:p>
    <w:p w:rsidR="00D4299C" w:rsidRPr="00D4299C" w:rsidRDefault="00D4299C" w:rsidP="00D4299C">
      <w:pPr>
        <w:pStyle w:val="NormalWeb"/>
        <w:rPr>
          <w:b/>
          <w:lang w:val="la-Latn"/>
        </w:rPr>
      </w:pPr>
      <w:r w:rsidRPr="00D4299C">
        <w:rPr>
          <w:rStyle w:val="Strong"/>
          <w:b w:val="0"/>
          <w:lang w:val="la-Latn"/>
        </w:rPr>
        <w:lastRenderedPageBreak/>
        <w:t>49. If a syllogistic form of reasoning holds in divine matters, then a doctrine of the trinity is demonstrable and not the object of faith.</w:t>
      </w:r>
    </w:p>
    <w:p w:rsidR="00D4299C" w:rsidRDefault="00D4299C" w:rsidP="00D4299C">
      <w:pPr>
        <w:pStyle w:val="NormalWeb"/>
      </w:pPr>
      <w:r>
        <w:rPr>
          <w:lang w:val="la-Latn"/>
        </w:rPr>
        <w:t>50. Briefly, the whole Aristotle is to theology as darkness is to light. This is in opposition to the scholastics.</w:t>
      </w:r>
    </w:p>
    <w:p w:rsidR="00B13D24" w:rsidRDefault="00B13D24" w:rsidP="00D4299C">
      <w:pPr>
        <w:pStyle w:val="NormalWeb"/>
      </w:pPr>
    </w:p>
    <w:p w:rsidR="00B13D24" w:rsidRPr="00B13D24" w:rsidRDefault="00B13D24" w:rsidP="00D4299C">
      <w:pPr>
        <w:pStyle w:val="NormalWeb"/>
      </w:pPr>
      <w:r>
        <w:t xml:space="preserve">An account of St. Bartholomew’s Day Massacre can be found at </w:t>
      </w:r>
      <w:hyperlink r:id="rId5" w:history="1">
        <w:r w:rsidRPr="00122BC5">
          <w:rPr>
            <w:rStyle w:val="Hyperlink"/>
          </w:rPr>
          <w:t>http://www.historyguide.org/earlymod/massacre.html</w:t>
        </w:r>
      </w:hyperlink>
      <w:r>
        <w:t xml:space="preserve"> </w:t>
      </w:r>
      <w:bookmarkStart w:id="0" w:name="_GoBack"/>
      <w:bookmarkEnd w:id="0"/>
    </w:p>
    <w:p w:rsidR="00D4299C" w:rsidRPr="00D4299C" w:rsidRDefault="00D4299C"/>
    <w:sectPr w:rsidR="00D4299C" w:rsidRPr="00D42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9C"/>
    <w:rsid w:val="0081479C"/>
    <w:rsid w:val="00B13D24"/>
    <w:rsid w:val="00D4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9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99C"/>
    <w:rPr>
      <w:b/>
      <w:bCs/>
    </w:rPr>
  </w:style>
  <w:style w:type="character" w:styleId="Emphasis">
    <w:name w:val="Emphasis"/>
    <w:basedOn w:val="DefaultParagraphFont"/>
    <w:uiPriority w:val="20"/>
    <w:qFormat/>
    <w:rsid w:val="00D4299C"/>
    <w:rPr>
      <w:i/>
      <w:iCs/>
    </w:rPr>
  </w:style>
  <w:style w:type="character" w:styleId="Hyperlink">
    <w:name w:val="Hyperlink"/>
    <w:basedOn w:val="DefaultParagraphFont"/>
    <w:uiPriority w:val="99"/>
    <w:unhideWhenUsed/>
    <w:rsid w:val="00B13D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9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99C"/>
    <w:rPr>
      <w:b/>
      <w:bCs/>
    </w:rPr>
  </w:style>
  <w:style w:type="character" w:styleId="Emphasis">
    <w:name w:val="Emphasis"/>
    <w:basedOn w:val="DefaultParagraphFont"/>
    <w:uiPriority w:val="20"/>
    <w:qFormat/>
    <w:rsid w:val="00D4299C"/>
    <w:rPr>
      <w:i/>
      <w:iCs/>
    </w:rPr>
  </w:style>
  <w:style w:type="character" w:styleId="Hyperlink">
    <w:name w:val="Hyperlink"/>
    <w:basedOn w:val="DefaultParagraphFont"/>
    <w:uiPriority w:val="99"/>
    <w:unhideWhenUsed/>
    <w:rsid w:val="00B13D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332600">
      <w:bodyDiv w:val="1"/>
      <w:marLeft w:val="0"/>
      <w:marRight w:val="0"/>
      <w:marTop w:val="0"/>
      <w:marBottom w:val="0"/>
      <w:divBdr>
        <w:top w:val="none" w:sz="0" w:space="0" w:color="auto"/>
        <w:left w:val="none" w:sz="0" w:space="0" w:color="auto"/>
        <w:bottom w:val="none" w:sz="0" w:space="0" w:color="auto"/>
        <w:right w:val="none" w:sz="0" w:space="0" w:color="auto"/>
      </w:divBdr>
      <w:divsChild>
        <w:div w:id="356851934">
          <w:marLeft w:val="0"/>
          <w:marRight w:val="0"/>
          <w:marTop w:val="0"/>
          <w:marBottom w:val="0"/>
          <w:divBdr>
            <w:top w:val="none" w:sz="0" w:space="0" w:color="auto"/>
            <w:left w:val="none" w:sz="0" w:space="0" w:color="auto"/>
            <w:bottom w:val="none" w:sz="0" w:space="0" w:color="auto"/>
            <w:right w:val="none" w:sz="0" w:space="0" w:color="auto"/>
          </w:divBdr>
          <w:divsChild>
            <w:div w:id="1391617428">
              <w:marLeft w:val="0"/>
              <w:marRight w:val="0"/>
              <w:marTop w:val="0"/>
              <w:marBottom w:val="0"/>
              <w:divBdr>
                <w:top w:val="none" w:sz="0" w:space="0" w:color="auto"/>
                <w:left w:val="none" w:sz="0" w:space="0" w:color="auto"/>
                <w:bottom w:val="none" w:sz="0" w:space="0" w:color="auto"/>
                <w:right w:val="none" w:sz="0" w:space="0" w:color="auto"/>
              </w:divBdr>
              <w:divsChild>
                <w:div w:id="1267615014">
                  <w:marLeft w:val="0"/>
                  <w:marRight w:val="0"/>
                  <w:marTop w:val="0"/>
                  <w:marBottom w:val="0"/>
                  <w:divBdr>
                    <w:top w:val="none" w:sz="0" w:space="0" w:color="auto"/>
                    <w:left w:val="none" w:sz="0" w:space="0" w:color="auto"/>
                    <w:bottom w:val="none" w:sz="0" w:space="0" w:color="auto"/>
                    <w:right w:val="none" w:sz="0" w:space="0" w:color="auto"/>
                  </w:divBdr>
                  <w:divsChild>
                    <w:div w:id="3905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istoryguide.org/earlymod/massacr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2071</Characters>
  <Application>Microsoft Office Word</Application>
  <DocSecurity>0</DocSecurity>
  <Lines>17</Lines>
  <Paragraphs>4</Paragraphs>
  <ScaleCrop>false</ScaleCrop>
  <Company>MIT</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AOrlando</dc:creator>
  <cp:lastModifiedBy>AOrlando</cp:lastModifiedBy>
  <cp:revision>2</cp:revision>
  <dcterms:created xsi:type="dcterms:W3CDTF">2014-01-18T11:43:00Z</dcterms:created>
  <dcterms:modified xsi:type="dcterms:W3CDTF">2014-01-18T11:52:00Z</dcterms:modified>
</cp:coreProperties>
</file>