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7F" w:rsidRDefault="00E52AB2" w:rsidP="00C115AF">
      <w:pPr>
        <w:pStyle w:val="Title"/>
      </w:pPr>
      <w:r>
        <w:t xml:space="preserve">Navigating </w:t>
      </w:r>
      <w:r w:rsidR="00E33355">
        <w:t>Cognos</w:t>
      </w:r>
      <w:r w:rsidR="00FE3D36">
        <w:t xml:space="preserve"> </w:t>
      </w:r>
      <w:r>
        <w:t>Quick reference Card</w:t>
      </w:r>
    </w:p>
    <w:p w:rsidR="008C4C1F" w:rsidRDefault="008C4C1F" w:rsidP="009A1FE0">
      <w:pPr>
        <w:pStyle w:val="Heading1"/>
      </w:pPr>
      <w:r>
        <w:t>Run a report</w:t>
      </w:r>
    </w:p>
    <w:p w:rsidR="008C4C1F" w:rsidRPr="00102F54" w:rsidRDefault="008C4C1F" w:rsidP="008C4C1F">
      <w:pPr>
        <w:pStyle w:val="ListParagraph"/>
        <w:numPr>
          <w:ilvl w:val="0"/>
          <w:numId w:val="25"/>
        </w:numPr>
      </w:pPr>
      <w:r>
        <w:t xml:space="preserve">Go to </w:t>
      </w:r>
      <w:hyperlink r:id="rId9" w:history="1">
        <w:r w:rsidR="008772C4" w:rsidRPr="00F85E35">
          <w:rPr>
            <w:rStyle w:val="Hyperlink"/>
          </w:rPr>
          <w:t>reports.mit.edu</w:t>
        </w:r>
      </w:hyperlink>
      <w:r w:rsidR="008772C4">
        <w:t xml:space="preserve"> </w:t>
      </w:r>
      <w:r>
        <w:t xml:space="preserve">. </w:t>
      </w:r>
      <w:r w:rsidR="00E52AB2">
        <w:br/>
      </w:r>
      <w:r w:rsidR="00E52AB2" w:rsidRPr="00E52AB2">
        <w:rPr>
          <w:i/>
        </w:rPr>
        <w:t xml:space="preserve">You will log in with your </w:t>
      </w:r>
      <w:r w:rsidR="00E25641">
        <w:rPr>
          <w:i/>
        </w:rPr>
        <w:t>Touchstone login.</w:t>
      </w:r>
    </w:p>
    <w:p w:rsidR="00924583" w:rsidRDefault="00924583" w:rsidP="008C4C1F">
      <w:pPr>
        <w:pStyle w:val="ListParagraph"/>
        <w:numPr>
          <w:ilvl w:val="0"/>
          <w:numId w:val="25"/>
        </w:numPr>
      </w:pPr>
      <w:r>
        <w:t>C</w:t>
      </w:r>
      <w:r w:rsidRPr="008C4C1F">
        <w:t xml:space="preserve">hoose </w:t>
      </w:r>
      <w:r w:rsidRPr="008C4C1F">
        <w:rPr>
          <w:b/>
        </w:rPr>
        <w:t>IBM Cognos content</w:t>
      </w:r>
    </w:p>
    <w:p w:rsidR="008C4C1F" w:rsidRDefault="008C4C1F" w:rsidP="008C4C1F">
      <w:pPr>
        <w:pStyle w:val="ListParagraph"/>
        <w:numPr>
          <w:ilvl w:val="0"/>
          <w:numId w:val="25"/>
        </w:numPr>
      </w:pPr>
      <w:r>
        <w:t xml:space="preserve">From </w:t>
      </w:r>
      <w:r w:rsidRPr="008C4C1F">
        <w:rPr>
          <w:b/>
        </w:rPr>
        <w:t>Public Folders</w:t>
      </w:r>
      <w:r>
        <w:t xml:space="preserve"> choose the type of report you need to run such as </w:t>
      </w:r>
      <w:r w:rsidRPr="00102F54">
        <w:rPr>
          <w:b/>
        </w:rPr>
        <w:t>Departmental Report</w:t>
      </w:r>
      <w:r w:rsidR="00093D3B" w:rsidRPr="00102F54">
        <w:rPr>
          <w:b/>
        </w:rPr>
        <w:t>s</w:t>
      </w:r>
      <w:r>
        <w:t>.</w:t>
      </w:r>
    </w:p>
    <w:p w:rsidR="008C4C1F" w:rsidRDefault="008C4C1F" w:rsidP="008C4C1F">
      <w:pPr>
        <w:pStyle w:val="ListParagraph"/>
        <w:numPr>
          <w:ilvl w:val="0"/>
          <w:numId w:val="25"/>
        </w:numPr>
      </w:pPr>
      <w:r>
        <w:t>Select the subfolder if one appears.</w:t>
      </w:r>
    </w:p>
    <w:p w:rsidR="008C4C1F" w:rsidRDefault="008C4C1F" w:rsidP="008C4C1F">
      <w:pPr>
        <w:pStyle w:val="ListParagraph"/>
        <w:numPr>
          <w:ilvl w:val="0"/>
          <w:numId w:val="25"/>
        </w:numPr>
      </w:pPr>
      <w:r>
        <w:t>Click the link for the report.</w:t>
      </w:r>
    </w:p>
    <w:p w:rsidR="00720EF9" w:rsidRPr="007012FD" w:rsidRDefault="008C4C1F" w:rsidP="007B21CA">
      <w:pPr>
        <w:pStyle w:val="ListParagraph"/>
        <w:numPr>
          <w:ilvl w:val="0"/>
          <w:numId w:val="25"/>
        </w:numPr>
      </w:pPr>
      <w:r>
        <w:t>If parameters appear</w:t>
      </w:r>
      <w:r w:rsidR="00924583">
        <w:t>,</w:t>
      </w:r>
      <w:r>
        <w:t xml:space="preserve"> fill in the detail and click </w:t>
      </w:r>
      <w:r w:rsidR="00924583">
        <w:rPr>
          <w:b/>
        </w:rPr>
        <w:t>Run My Report</w:t>
      </w:r>
      <w:r w:rsidR="007012FD">
        <w:rPr>
          <w:b/>
        </w:rPr>
        <w:t xml:space="preserve"> or Finish </w:t>
      </w:r>
      <w:r w:rsidR="007012FD" w:rsidRPr="007012FD">
        <w:t>depending on the report</w:t>
      </w:r>
      <w:r w:rsidRPr="007012FD">
        <w:t>.</w:t>
      </w:r>
    </w:p>
    <w:p w:rsidR="007B21CA" w:rsidRDefault="007B21CA" w:rsidP="007B21CA">
      <w:pPr>
        <w:pStyle w:val="Heading1"/>
      </w:pPr>
      <w:r>
        <w:t xml:space="preserve">Saving </w:t>
      </w:r>
      <w:r w:rsidR="004272F0">
        <w:t xml:space="preserve">and Emailing </w:t>
      </w:r>
      <w:r>
        <w:t>Reports</w:t>
      </w:r>
    </w:p>
    <w:p w:rsidR="006D034B" w:rsidRDefault="001C367F" w:rsidP="006D034B">
      <w:pPr>
        <w:pStyle w:val="Heading2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7D7A109" wp14:editId="2649BD4C">
            <wp:simplePos x="0" y="0"/>
            <wp:positionH relativeFrom="column">
              <wp:posOffset>1571625</wp:posOffset>
            </wp:positionH>
            <wp:positionV relativeFrom="paragraph">
              <wp:posOffset>26670</wp:posOffset>
            </wp:positionV>
            <wp:extent cx="1053465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092" y="21234"/>
                <wp:lineTo x="21092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ep this versi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34B">
        <w:t>Keep This Version</w:t>
      </w:r>
      <w:r>
        <w:t xml:space="preserve"> </w:t>
      </w:r>
    </w:p>
    <w:p w:rsidR="006D034B" w:rsidRDefault="006D034B" w:rsidP="006D034B">
      <w:pPr>
        <w:pStyle w:val="Heading3"/>
      </w:pPr>
      <w:r>
        <w:t>Save a</w:t>
      </w:r>
      <w:r w:rsidR="00745992">
        <w:t>s</w:t>
      </w:r>
      <w:r>
        <w:t xml:space="preserve"> report view</w:t>
      </w:r>
    </w:p>
    <w:p w:rsidR="006D034B" w:rsidRPr="000E7E39" w:rsidRDefault="00FD69FE" w:rsidP="006D034B">
      <w:pPr>
        <w:rPr>
          <w:i/>
        </w:rPr>
      </w:pPr>
      <w:r>
        <w:t>Use S</w:t>
      </w:r>
      <w:r w:rsidR="006D034B">
        <w:t>ave</w:t>
      </w:r>
      <w:r>
        <w:t xml:space="preserve"> a</w:t>
      </w:r>
      <w:r w:rsidR="00745992">
        <w:t>s</w:t>
      </w:r>
      <w:r>
        <w:t xml:space="preserve"> Report V</w:t>
      </w:r>
      <w:r w:rsidR="006D034B">
        <w:t>iew if you have a report with parameters you want to save</w:t>
      </w:r>
      <w:r w:rsidR="00745992">
        <w:t>,</w:t>
      </w:r>
      <w:r w:rsidR="000D13EE">
        <w:t xml:space="preserve"> </w:t>
      </w:r>
      <w:r w:rsidR="00745992">
        <w:t>f</w:t>
      </w:r>
      <w:r w:rsidR="000D13EE">
        <w:t>or example i</w:t>
      </w:r>
      <w:r w:rsidR="006D034B">
        <w:t>f y</w:t>
      </w:r>
      <w:r w:rsidR="000D13EE">
        <w:t>ou want to always set your Web H</w:t>
      </w:r>
      <w:r w:rsidR="006D034B">
        <w:t>its report to warehouse with a date range of this year.</w:t>
      </w:r>
      <w:r w:rsidR="000E7E39">
        <w:t xml:space="preserve">  </w:t>
      </w:r>
      <w:r w:rsidR="000E7E39">
        <w:br/>
      </w:r>
      <w:r w:rsidR="000E7E39" w:rsidRPr="000E7E39">
        <w:rPr>
          <w:b/>
          <w:i/>
        </w:rPr>
        <w:t>Please Note:</w:t>
      </w:r>
      <w:r w:rsidR="000E7E39" w:rsidRPr="000E7E39">
        <w:rPr>
          <w:i/>
        </w:rPr>
        <w:t xml:space="preserve"> </w:t>
      </w:r>
      <w:r w:rsidR="000E7E39">
        <w:rPr>
          <w:i/>
        </w:rPr>
        <w:t xml:space="preserve"> </w:t>
      </w:r>
      <w:r w:rsidR="000E7E39" w:rsidRPr="000E7E39">
        <w:rPr>
          <w:i/>
        </w:rPr>
        <w:t>Saving a report in this way will not bring up the latest version of the report.  You may want to consider saving a shortcut instead.</w:t>
      </w:r>
    </w:p>
    <w:p w:rsidR="006D034B" w:rsidRDefault="006D034B" w:rsidP="006D034B">
      <w:pPr>
        <w:pStyle w:val="ListParagraph"/>
        <w:numPr>
          <w:ilvl w:val="0"/>
          <w:numId w:val="27"/>
        </w:numPr>
      </w:pPr>
      <w:r>
        <w:t>From the report view</w:t>
      </w:r>
      <w:r w:rsidR="001C367F">
        <w:t>,</w:t>
      </w:r>
      <w:r>
        <w:t xml:space="preserve"> go to </w:t>
      </w:r>
      <w:r w:rsidRPr="00623B91">
        <w:rPr>
          <w:b/>
        </w:rPr>
        <w:t>Keep this version</w:t>
      </w:r>
      <w:r>
        <w:t xml:space="preserve"> and choose </w:t>
      </w:r>
      <w:r w:rsidR="001C367F">
        <w:rPr>
          <w:b/>
        </w:rPr>
        <w:t>Save as Report V</w:t>
      </w:r>
      <w:r w:rsidRPr="00623B91">
        <w:rPr>
          <w:b/>
        </w:rPr>
        <w:t>iew</w:t>
      </w:r>
      <w:r>
        <w:rPr>
          <w:b/>
        </w:rPr>
        <w:t>.</w:t>
      </w:r>
    </w:p>
    <w:p w:rsidR="006D034B" w:rsidRDefault="006D034B" w:rsidP="006D034B">
      <w:pPr>
        <w:pStyle w:val="ListParagraph"/>
        <w:numPr>
          <w:ilvl w:val="0"/>
          <w:numId w:val="27"/>
        </w:numPr>
      </w:pPr>
      <w:r>
        <w:t xml:space="preserve">Enter a new name for the report </w:t>
      </w:r>
    </w:p>
    <w:p w:rsidR="006D034B" w:rsidRDefault="006D034B" w:rsidP="006D034B">
      <w:pPr>
        <w:pStyle w:val="ListParagraph"/>
        <w:numPr>
          <w:ilvl w:val="0"/>
          <w:numId w:val="27"/>
        </w:numPr>
      </w:pPr>
      <w:r>
        <w:t xml:space="preserve">Choose </w:t>
      </w:r>
      <w:r w:rsidRPr="00623B91">
        <w:rPr>
          <w:b/>
        </w:rPr>
        <w:t>My folders</w:t>
      </w:r>
      <w:r>
        <w:t xml:space="preserve"> under another location</w:t>
      </w:r>
    </w:p>
    <w:p w:rsidR="006D034B" w:rsidRPr="00623B91" w:rsidRDefault="006D034B" w:rsidP="006D034B">
      <w:pPr>
        <w:pStyle w:val="ListParagraph"/>
        <w:numPr>
          <w:ilvl w:val="0"/>
          <w:numId w:val="27"/>
        </w:numPr>
      </w:pPr>
      <w:r>
        <w:t xml:space="preserve">Click </w:t>
      </w:r>
      <w:r w:rsidRPr="00623B91">
        <w:rPr>
          <w:b/>
        </w:rPr>
        <w:t>OK</w:t>
      </w:r>
      <w:r>
        <w:t>.</w:t>
      </w:r>
    </w:p>
    <w:p w:rsidR="006D034B" w:rsidRDefault="006D034B" w:rsidP="006D034B">
      <w:pPr>
        <w:pStyle w:val="Heading3"/>
      </w:pPr>
      <w:r>
        <w:t>Email report</w:t>
      </w:r>
    </w:p>
    <w:p w:rsidR="006D034B" w:rsidRDefault="006D034B" w:rsidP="00816D64">
      <w:pPr>
        <w:pStyle w:val="ListParagraph"/>
        <w:numPr>
          <w:ilvl w:val="0"/>
          <w:numId w:val="32"/>
        </w:numPr>
      </w:pPr>
      <w:r>
        <w:t>To email a report</w:t>
      </w:r>
      <w:r w:rsidR="000D13EE">
        <w:t xml:space="preserve"> </w:t>
      </w:r>
      <w:r w:rsidR="00F805DE">
        <w:t>from a report</w:t>
      </w:r>
      <w:r w:rsidR="000D13EE">
        <w:t>.</w:t>
      </w:r>
    </w:p>
    <w:p w:rsidR="006D034B" w:rsidRDefault="006D034B" w:rsidP="00816D64">
      <w:pPr>
        <w:pStyle w:val="ListParagraph"/>
        <w:numPr>
          <w:ilvl w:val="1"/>
          <w:numId w:val="32"/>
        </w:numPr>
      </w:pPr>
      <w:r>
        <w:t>From the report view</w:t>
      </w:r>
      <w:r w:rsidR="001C367F">
        <w:t>,</w:t>
      </w:r>
      <w:r>
        <w:t xml:space="preserve"> go to </w:t>
      </w:r>
      <w:r w:rsidRPr="000D13EE">
        <w:rPr>
          <w:b/>
        </w:rPr>
        <w:t>Keep this version</w:t>
      </w:r>
      <w:r>
        <w:t xml:space="preserve"> and choose </w:t>
      </w:r>
      <w:r w:rsidRPr="000D13EE">
        <w:rPr>
          <w:b/>
        </w:rPr>
        <w:t>Email report</w:t>
      </w:r>
      <w:r>
        <w:t>.</w:t>
      </w:r>
    </w:p>
    <w:p w:rsidR="006D034B" w:rsidRDefault="006D034B" w:rsidP="00816D64">
      <w:pPr>
        <w:pStyle w:val="ListParagraph"/>
        <w:numPr>
          <w:ilvl w:val="1"/>
          <w:numId w:val="32"/>
        </w:numPr>
      </w:pPr>
      <w:r>
        <w:t xml:space="preserve">Enter your </w:t>
      </w:r>
      <w:r w:rsidRPr="000D13EE">
        <w:rPr>
          <w:b/>
        </w:rPr>
        <w:t xml:space="preserve">To </w:t>
      </w:r>
      <w:r>
        <w:t xml:space="preserve">and </w:t>
      </w:r>
      <w:r w:rsidRPr="000D13EE">
        <w:rPr>
          <w:b/>
        </w:rPr>
        <w:t>CC</w:t>
      </w:r>
      <w:r>
        <w:t xml:space="preserve"> information</w:t>
      </w:r>
      <w:r w:rsidR="000D13EE">
        <w:t xml:space="preserve"> for the email.</w:t>
      </w:r>
    </w:p>
    <w:p w:rsidR="006D034B" w:rsidRDefault="006D034B" w:rsidP="00816D64">
      <w:pPr>
        <w:pStyle w:val="ListParagraph"/>
        <w:numPr>
          <w:ilvl w:val="1"/>
          <w:numId w:val="32"/>
        </w:numPr>
      </w:pPr>
      <w:r>
        <w:t>Add a message to the email.</w:t>
      </w:r>
    </w:p>
    <w:p w:rsidR="00816D64" w:rsidRDefault="006D034B" w:rsidP="00F805DE">
      <w:pPr>
        <w:pStyle w:val="ListParagraph"/>
        <w:numPr>
          <w:ilvl w:val="1"/>
          <w:numId w:val="32"/>
        </w:numPr>
      </w:pPr>
      <w:r>
        <w:t xml:space="preserve">Choose </w:t>
      </w:r>
      <w:r w:rsidRPr="00F805DE">
        <w:rPr>
          <w:b/>
        </w:rPr>
        <w:t>Include a link</w:t>
      </w:r>
      <w:r w:rsidRPr="00CA3F8C">
        <w:t xml:space="preserve"> </w:t>
      </w:r>
      <w:r w:rsidR="00F805DE">
        <w:t xml:space="preserve">to </w:t>
      </w:r>
      <w:r w:rsidRPr="00CA3F8C">
        <w:t>send a link to the report</w:t>
      </w:r>
      <w:r w:rsidR="00FD69FE">
        <w:t xml:space="preserve">.  The </w:t>
      </w:r>
      <w:r w:rsidRPr="00CA3F8C">
        <w:t xml:space="preserve">receiver </w:t>
      </w:r>
      <w:r w:rsidR="00FD69FE">
        <w:t xml:space="preserve">will need to login to Cognos and set the report parameters.  </w:t>
      </w:r>
    </w:p>
    <w:p w:rsidR="00816D64" w:rsidRDefault="00816D64" w:rsidP="00816D64">
      <w:pPr>
        <w:pStyle w:val="ListParagraph"/>
        <w:numPr>
          <w:ilvl w:val="0"/>
          <w:numId w:val="32"/>
        </w:numPr>
      </w:pPr>
      <w:r>
        <w:t>To email a report from the Home page:</w:t>
      </w:r>
    </w:p>
    <w:p w:rsidR="00816D64" w:rsidRDefault="00816D64" w:rsidP="00816D64">
      <w:pPr>
        <w:pStyle w:val="ListParagraph"/>
        <w:numPr>
          <w:ilvl w:val="1"/>
          <w:numId w:val="32"/>
        </w:numPr>
      </w:pPr>
      <w:r>
        <w:t xml:space="preserve">Go to the report folder and choose </w:t>
      </w:r>
      <w:r w:rsidRPr="00032F00">
        <w:rPr>
          <w:b/>
        </w:rPr>
        <w:t>Set Properties</w:t>
      </w:r>
      <w:r>
        <w:t>.</w:t>
      </w:r>
    </w:p>
    <w:p w:rsidR="00032F00" w:rsidRDefault="00032F00" w:rsidP="00816D64">
      <w:pPr>
        <w:pStyle w:val="ListParagraph"/>
        <w:numPr>
          <w:ilvl w:val="1"/>
          <w:numId w:val="32"/>
        </w:numPr>
      </w:pPr>
      <w:r>
        <w:t xml:space="preserve">Choose </w:t>
      </w:r>
      <w:r w:rsidRPr="00F515EF">
        <w:rPr>
          <w:b/>
        </w:rPr>
        <w:t>View</w:t>
      </w:r>
      <w:r w:rsidRPr="00816D64">
        <w:t xml:space="preserve"> </w:t>
      </w:r>
      <w:r w:rsidRPr="00F515EF">
        <w:rPr>
          <w:b/>
        </w:rPr>
        <w:t>the search path, ID and URL</w:t>
      </w:r>
      <w:r>
        <w:t>.</w:t>
      </w:r>
    </w:p>
    <w:p w:rsidR="00F805DE" w:rsidRDefault="00816D64" w:rsidP="00F805DE">
      <w:pPr>
        <w:pStyle w:val="ListParagraph"/>
        <w:numPr>
          <w:ilvl w:val="1"/>
          <w:numId w:val="32"/>
        </w:numPr>
      </w:pPr>
      <w:r>
        <w:t xml:space="preserve">Copy the </w:t>
      </w:r>
      <w:r w:rsidR="00F515EF">
        <w:t>URL</w:t>
      </w:r>
      <w:r>
        <w:t xml:space="preserve"> </w:t>
      </w:r>
      <w:r w:rsidR="00CB4835">
        <w:t xml:space="preserve">from </w:t>
      </w:r>
      <w:r w:rsidR="00CB4835" w:rsidRPr="00773F60">
        <w:rPr>
          <w:b/>
        </w:rPr>
        <w:t xml:space="preserve">Default action URL </w:t>
      </w:r>
      <w:r>
        <w:t>and paste it into an email.</w:t>
      </w:r>
      <w:r>
        <w:br w:type="page"/>
      </w:r>
    </w:p>
    <w:p w:rsidR="004272F0" w:rsidRPr="000D13EE" w:rsidRDefault="001C367F" w:rsidP="000D13EE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243FDDCE" wp14:editId="412CF89C">
            <wp:simplePos x="0" y="0"/>
            <wp:positionH relativeFrom="column">
              <wp:posOffset>1485900</wp:posOffset>
            </wp:positionH>
            <wp:positionV relativeFrom="paragraph">
              <wp:posOffset>-156845</wp:posOffset>
            </wp:positionV>
            <wp:extent cx="1104265" cy="475615"/>
            <wp:effectExtent l="0" t="0" r="635" b="635"/>
            <wp:wrapTight wrapText="bothSides">
              <wp:wrapPolygon edited="0">
                <wp:start x="0" y="0"/>
                <wp:lineTo x="0" y="20764"/>
                <wp:lineTo x="21240" y="20764"/>
                <wp:lineTo x="2124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 this repor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2F0" w:rsidRPr="000D13EE">
        <w:t>Add this Report</w:t>
      </w:r>
    </w:p>
    <w:p w:rsidR="004272F0" w:rsidRDefault="004272F0" w:rsidP="004272F0">
      <w:r>
        <w:t xml:space="preserve">Add this report can be used to </w:t>
      </w:r>
      <w:r w:rsidRPr="00CA3F8C">
        <w:t xml:space="preserve">save </w:t>
      </w:r>
      <w:r>
        <w:t>a</w:t>
      </w:r>
      <w:r w:rsidRPr="00CA3F8C">
        <w:t xml:space="preserve"> </w:t>
      </w:r>
      <w:r w:rsidR="00F805DE">
        <w:t xml:space="preserve">shortcut to a </w:t>
      </w:r>
      <w:r w:rsidR="00F805DE" w:rsidRPr="00CA3F8C">
        <w:t xml:space="preserve">report </w:t>
      </w:r>
      <w:r w:rsidR="00F805DE">
        <w:t>to</w:t>
      </w:r>
      <w:r>
        <w:t xml:space="preserve"> My </w:t>
      </w:r>
      <w:r w:rsidR="00745992">
        <w:t>F</w:t>
      </w:r>
      <w:r>
        <w:t xml:space="preserve">olders when you do not want </w:t>
      </w:r>
      <w:r w:rsidR="00F805DE">
        <w:t xml:space="preserve">to </w:t>
      </w:r>
      <w:r w:rsidR="00F805DE">
        <w:br/>
        <w:t>pre</w:t>
      </w:r>
      <w:r>
        <w:t>-</w:t>
      </w:r>
      <w:r w:rsidR="00F805DE">
        <w:t>s</w:t>
      </w:r>
      <w:r>
        <w:t xml:space="preserve">et the parameters.  This tool is used to create </w:t>
      </w:r>
      <w:r w:rsidR="008B4BF3">
        <w:t>a favorites list of reports in C</w:t>
      </w:r>
      <w:r>
        <w:t>ognos.</w:t>
      </w:r>
    </w:p>
    <w:p w:rsidR="004272F0" w:rsidRDefault="004272F0" w:rsidP="004272F0">
      <w:pPr>
        <w:pStyle w:val="ListParagraph"/>
        <w:numPr>
          <w:ilvl w:val="0"/>
          <w:numId w:val="29"/>
        </w:numPr>
      </w:pPr>
      <w:r>
        <w:t>From the report view</w:t>
      </w:r>
      <w:r w:rsidR="001C367F">
        <w:t>,</w:t>
      </w:r>
      <w:r>
        <w:t xml:space="preserve"> go to </w:t>
      </w:r>
      <w:r w:rsidRPr="00CA3F8C">
        <w:t xml:space="preserve">the link </w:t>
      </w:r>
      <w:r w:rsidRPr="004272F0">
        <w:rPr>
          <w:b/>
        </w:rPr>
        <w:t xml:space="preserve">Add this </w:t>
      </w:r>
      <w:r w:rsidR="00924583">
        <w:rPr>
          <w:b/>
        </w:rPr>
        <w:t>r</w:t>
      </w:r>
      <w:r w:rsidRPr="004272F0">
        <w:rPr>
          <w:b/>
        </w:rPr>
        <w:t>eport</w:t>
      </w:r>
      <w:r w:rsidRPr="00CA3F8C">
        <w:t xml:space="preserve"> and choose </w:t>
      </w:r>
      <w:r w:rsidRPr="004272F0">
        <w:rPr>
          <w:b/>
        </w:rPr>
        <w:t>Add to My Folders</w:t>
      </w:r>
      <w:r>
        <w:t>.</w:t>
      </w:r>
    </w:p>
    <w:p w:rsidR="006D034B" w:rsidRDefault="004272F0" w:rsidP="004272F0">
      <w:pPr>
        <w:pStyle w:val="ListParagraph"/>
        <w:numPr>
          <w:ilvl w:val="0"/>
          <w:numId w:val="29"/>
        </w:numPr>
      </w:pPr>
      <w:r>
        <w:t>Rename the report</w:t>
      </w:r>
      <w:r w:rsidRPr="00CA3F8C">
        <w:t xml:space="preserve"> and click </w:t>
      </w:r>
      <w:r w:rsidRPr="004272F0">
        <w:rPr>
          <w:b/>
        </w:rPr>
        <w:t>Finish</w:t>
      </w:r>
      <w:r w:rsidRPr="00CA3F8C">
        <w:t>.</w:t>
      </w:r>
      <w:r w:rsidR="00924583">
        <w:br/>
      </w:r>
      <w:r w:rsidR="00924583" w:rsidRPr="00924583">
        <w:rPr>
          <w:i/>
        </w:rPr>
        <w:t xml:space="preserve">Note: </w:t>
      </w:r>
      <w:r w:rsidR="00B0659E">
        <w:rPr>
          <w:i/>
        </w:rPr>
        <w:t>Renaming the report is an optional step</w:t>
      </w:r>
      <w:r w:rsidR="00924583" w:rsidRPr="00924583">
        <w:rPr>
          <w:i/>
        </w:rPr>
        <w:t>.</w:t>
      </w:r>
    </w:p>
    <w:p w:rsidR="007B21CA" w:rsidRDefault="00032F00" w:rsidP="007B21CA">
      <w:pPr>
        <w:pStyle w:val="Heading1"/>
      </w:pPr>
      <w:r>
        <w:t>PRINTING AND</w:t>
      </w:r>
      <w:r w:rsidR="00F805DE">
        <w:t xml:space="preserve"> downloading </w:t>
      </w:r>
      <w:r w:rsidR="007B21CA">
        <w:t>Reports</w:t>
      </w:r>
    </w:p>
    <w:p w:rsidR="00403F2A" w:rsidRDefault="00403F2A" w:rsidP="00403F2A">
      <w:pPr>
        <w:pStyle w:val="Heading3"/>
      </w:pPr>
      <w:r>
        <w:t>Print a report using PDF</w:t>
      </w:r>
    </w:p>
    <w:p w:rsidR="00403F2A" w:rsidRDefault="00403F2A" w:rsidP="00403F2A">
      <w:pPr>
        <w:pStyle w:val="ListParagraph"/>
        <w:numPr>
          <w:ilvl w:val="0"/>
          <w:numId w:val="31"/>
        </w:numPr>
      </w:pPr>
      <w:r>
        <w:t xml:space="preserve">Go to the </w:t>
      </w:r>
      <w:r w:rsidRPr="00032F00">
        <w:rPr>
          <w:b/>
        </w:rPr>
        <w:t>View</w:t>
      </w:r>
      <w:r>
        <w:t xml:space="preserve"> button </w:t>
      </w:r>
      <w:r w:rsidR="00F60DE4">
        <w:rPr>
          <w:noProof/>
        </w:rPr>
        <w:drawing>
          <wp:inline distT="0" distB="0" distL="0" distR="0" wp14:anchorId="2E87449F" wp14:editId="16604907">
            <wp:extent cx="295275" cy="15632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 butt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3" cy="15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and choose </w:t>
      </w:r>
      <w:r w:rsidRPr="00032F00">
        <w:rPr>
          <w:b/>
        </w:rPr>
        <w:t>View in PDF</w:t>
      </w:r>
      <w:r>
        <w:t>.</w:t>
      </w:r>
    </w:p>
    <w:p w:rsidR="00403F2A" w:rsidRDefault="00403F2A" w:rsidP="00403F2A">
      <w:pPr>
        <w:pStyle w:val="ListParagraph"/>
        <w:numPr>
          <w:ilvl w:val="0"/>
          <w:numId w:val="31"/>
        </w:numPr>
      </w:pPr>
      <w:r>
        <w:t xml:space="preserve">Choose </w:t>
      </w:r>
      <w:r w:rsidR="00032F00" w:rsidRPr="00032F00">
        <w:rPr>
          <w:b/>
        </w:rPr>
        <w:t>P</w:t>
      </w:r>
      <w:r w:rsidRPr="00032F00">
        <w:rPr>
          <w:b/>
        </w:rPr>
        <w:t>rint</w:t>
      </w:r>
      <w:r>
        <w:t xml:space="preserve"> button from Adobe Acrobat.</w:t>
      </w:r>
    </w:p>
    <w:p w:rsidR="00403F2A" w:rsidRDefault="00403F2A" w:rsidP="00403F2A">
      <w:pPr>
        <w:pStyle w:val="Heading3"/>
      </w:pPr>
      <w:r>
        <w:t>Download to Excel</w:t>
      </w:r>
    </w:p>
    <w:p w:rsidR="00403F2A" w:rsidRDefault="00403F2A" w:rsidP="00403F2A">
      <w:pPr>
        <w:pStyle w:val="ListParagraph"/>
        <w:numPr>
          <w:ilvl w:val="0"/>
          <w:numId w:val="30"/>
        </w:numPr>
      </w:pPr>
      <w:r>
        <w:t xml:space="preserve">Go to the </w:t>
      </w:r>
      <w:r w:rsidRPr="00032F00">
        <w:rPr>
          <w:b/>
        </w:rPr>
        <w:t>View</w:t>
      </w:r>
      <w:r>
        <w:t xml:space="preserve"> button </w:t>
      </w:r>
      <w:r w:rsidR="00F60DE4">
        <w:rPr>
          <w:noProof/>
        </w:rPr>
        <w:drawing>
          <wp:inline distT="0" distB="0" distL="0" distR="0">
            <wp:extent cx="295275" cy="15632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 butto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3" cy="15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and choose </w:t>
      </w:r>
      <w:r w:rsidRPr="00032F00">
        <w:rPr>
          <w:b/>
        </w:rPr>
        <w:t>View in Excel Option</w:t>
      </w:r>
      <w:r>
        <w:t>.</w:t>
      </w:r>
    </w:p>
    <w:p w:rsidR="00403F2A" w:rsidRDefault="00403F2A" w:rsidP="00403F2A">
      <w:pPr>
        <w:pStyle w:val="ListParagraph"/>
        <w:numPr>
          <w:ilvl w:val="0"/>
          <w:numId w:val="30"/>
        </w:numPr>
      </w:pPr>
      <w:r>
        <w:t xml:space="preserve">Choose the file type: </w:t>
      </w:r>
      <w:r w:rsidRPr="00032F00">
        <w:rPr>
          <w:b/>
        </w:rPr>
        <w:t>Excel 2007; Excel 2003 or CSV</w:t>
      </w:r>
      <w:r>
        <w:t>.</w:t>
      </w:r>
    </w:p>
    <w:p w:rsidR="00403F2A" w:rsidRPr="00403F2A" w:rsidRDefault="00403F2A" w:rsidP="00403F2A">
      <w:pPr>
        <w:pStyle w:val="ListParagraph"/>
        <w:numPr>
          <w:ilvl w:val="0"/>
          <w:numId w:val="30"/>
        </w:numPr>
      </w:pPr>
      <w:r>
        <w:t xml:space="preserve">Click </w:t>
      </w:r>
      <w:r w:rsidRPr="00032F00">
        <w:rPr>
          <w:b/>
        </w:rPr>
        <w:t>OK</w:t>
      </w:r>
      <w:r w:rsidR="00032F00">
        <w:t xml:space="preserve"> and s</w:t>
      </w:r>
      <w:r>
        <w:t>ave the Excel file.</w:t>
      </w:r>
    </w:p>
    <w:p w:rsidR="00665484" w:rsidRDefault="00665484" w:rsidP="00665484">
      <w:pPr>
        <w:pStyle w:val="Heading1"/>
      </w:pPr>
      <w:r>
        <w:rPr>
          <w:noProof/>
        </w:rPr>
        <w:t>buttons</w:t>
      </w:r>
      <w:r w:rsidR="00555589">
        <w:rPr>
          <w:noProof/>
        </w:rPr>
        <w:t xml:space="preserve"> and Links</w:t>
      </w:r>
    </w:p>
    <w:tbl>
      <w:tblPr>
        <w:tblStyle w:val="TableGrid"/>
        <w:tblW w:w="98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555"/>
        <w:gridCol w:w="1685"/>
        <w:gridCol w:w="6570"/>
      </w:tblGrid>
      <w:tr w:rsidR="00665484" w:rsidRPr="00E52AB2" w:rsidTr="00A04B1C">
        <w:trPr>
          <w:trHeight w:val="665"/>
        </w:trPr>
        <w:tc>
          <w:tcPr>
            <w:tcW w:w="1555" w:type="dxa"/>
          </w:tcPr>
          <w:p w:rsidR="00665484" w:rsidRPr="00E52AB2" w:rsidRDefault="00FD69FE" w:rsidP="00160D2C">
            <w:r w:rsidRPr="00FE3D36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24B487" wp14:editId="652E78A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99060</wp:posOffset>
                  </wp:positionV>
                  <wp:extent cx="288925" cy="266700"/>
                  <wp:effectExtent l="0" t="0" r="0" b="0"/>
                  <wp:wrapTight wrapText="bothSides">
                    <wp:wrapPolygon edited="0">
                      <wp:start x="0" y="0"/>
                      <wp:lineTo x="0" y="20057"/>
                      <wp:lineTo x="19938" y="20057"/>
                      <wp:lineTo x="1993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:rsidR="00665484" w:rsidRPr="00E52AB2" w:rsidRDefault="00665484" w:rsidP="00160D2C">
            <w:r w:rsidRPr="00E52AB2">
              <w:t>Home</w:t>
            </w:r>
          </w:p>
        </w:tc>
        <w:tc>
          <w:tcPr>
            <w:tcW w:w="6570" w:type="dxa"/>
          </w:tcPr>
          <w:p w:rsidR="00665484" w:rsidRPr="00E52AB2" w:rsidRDefault="00665484" w:rsidP="00160D2C">
            <w:r>
              <w:t xml:space="preserve">Returns you to the </w:t>
            </w:r>
            <w:r w:rsidRPr="00FE3D36">
              <w:t xml:space="preserve">Public </w:t>
            </w:r>
            <w:r>
              <w:t xml:space="preserve">Folders page. </w:t>
            </w:r>
            <w:r>
              <w:br/>
            </w:r>
            <w:r w:rsidRPr="00D43662">
              <w:rPr>
                <w:i/>
              </w:rPr>
              <w:t>Use the drop down to Set View as Home to change your home location</w:t>
            </w:r>
            <w:r>
              <w:t>.</w:t>
            </w:r>
          </w:p>
        </w:tc>
      </w:tr>
      <w:tr w:rsidR="00665484" w:rsidRPr="00E52AB2" w:rsidTr="00A04B1C">
        <w:trPr>
          <w:trHeight w:val="440"/>
        </w:trPr>
        <w:tc>
          <w:tcPr>
            <w:tcW w:w="1555" w:type="dxa"/>
          </w:tcPr>
          <w:p w:rsidR="00665484" w:rsidRPr="00E52AB2" w:rsidRDefault="00FD69FE" w:rsidP="00160D2C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2D7A829" wp14:editId="665B12A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60960</wp:posOffset>
                  </wp:positionV>
                  <wp:extent cx="295275" cy="152400"/>
                  <wp:effectExtent l="0" t="0" r="952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unch button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:rsidR="00665484" w:rsidRPr="00E52AB2" w:rsidRDefault="00665484" w:rsidP="00160D2C">
            <w:r w:rsidRPr="00E52AB2">
              <w:t>Launch</w:t>
            </w:r>
          </w:p>
        </w:tc>
        <w:tc>
          <w:tcPr>
            <w:tcW w:w="6570" w:type="dxa"/>
          </w:tcPr>
          <w:p w:rsidR="00665484" w:rsidRPr="00E52AB2" w:rsidRDefault="00665484" w:rsidP="00160D2C">
            <w:r>
              <w:t xml:space="preserve">Launches other Cognos tools such as Business Insight or Report Studio. </w:t>
            </w:r>
          </w:p>
        </w:tc>
      </w:tr>
      <w:tr w:rsidR="00665484" w:rsidRPr="00E52AB2" w:rsidTr="00A04B1C">
        <w:tc>
          <w:tcPr>
            <w:tcW w:w="1555" w:type="dxa"/>
          </w:tcPr>
          <w:p w:rsidR="00665484" w:rsidRPr="00E52AB2" w:rsidRDefault="00665484" w:rsidP="00160D2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E73768" wp14:editId="1745671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3810</wp:posOffset>
                  </wp:positionV>
                  <wp:extent cx="238125" cy="238125"/>
                  <wp:effectExtent l="0" t="0" r="9525" b="9525"/>
                  <wp:wrapTight wrapText="bothSides">
                    <wp:wrapPolygon edited="0">
                      <wp:start x="0" y="0"/>
                      <wp:lineTo x="0" y="20736"/>
                      <wp:lineTo x="20736" y="20736"/>
                      <wp:lineTo x="20736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:rsidR="00665484" w:rsidRPr="00E52AB2" w:rsidRDefault="00665484" w:rsidP="00160D2C">
            <w:r w:rsidRPr="00E52AB2">
              <w:t>Return</w:t>
            </w:r>
          </w:p>
        </w:tc>
        <w:tc>
          <w:tcPr>
            <w:tcW w:w="6570" w:type="dxa"/>
          </w:tcPr>
          <w:p w:rsidR="00665484" w:rsidRPr="00E52AB2" w:rsidRDefault="00576B85" w:rsidP="00576B85">
            <w:r>
              <w:t>Returns</w:t>
            </w:r>
            <w:r w:rsidRPr="00576B85">
              <w:t xml:space="preserve"> you to the Public Folders portal or to My Folders, if you set it as Home</w:t>
            </w:r>
            <w:r w:rsidR="00665484">
              <w:t>.</w:t>
            </w:r>
          </w:p>
        </w:tc>
      </w:tr>
      <w:tr w:rsidR="00665484" w:rsidRPr="00E52AB2" w:rsidTr="00A04B1C">
        <w:trPr>
          <w:trHeight w:val="440"/>
        </w:trPr>
        <w:tc>
          <w:tcPr>
            <w:tcW w:w="1555" w:type="dxa"/>
          </w:tcPr>
          <w:p w:rsidR="00665484" w:rsidRPr="00E52AB2" w:rsidRDefault="00DD68A5" w:rsidP="00160D2C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5C910D83" wp14:editId="43C035D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76200</wp:posOffset>
                  </wp:positionV>
                  <wp:extent cx="335280" cy="161925"/>
                  <wp:effectExtent l="0" t="0" r="7620" b="9525"/>
                  <wp:wrapTight wrapText="bothSides">
                    <wp:wrapPolygon edited="0">
                      <wp:start x="0" y="0"/>
                      <wp:lineTo x="0" y="20329"/>
                      <wp:lineTo x="20864" y="20329"/>
                      <wp:lineTo x="20864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n off button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:rsidR="00665484" w:rsidRPr="00E52AB2" w:rsidRDefault="00665484" w:rsidP="00160D2C">
            <w:r w:rsidRPr="00E52AB2">
              <w:t>Logon/off</w:t>
            </w:r>
          </w:p>
        </w:tc>
        <w:tc>
          <w:tcPr>
            <w:tcW w:w="6570" w:type="dxa"/>
          </w:tcPr>
          <w:p w:rsidR="00665484" w:rsidRPr="00E52AB2" w:rsidRDefault="00665484" w:rsidP="00160D2C">
            <w:r>
              <w:t>Use drop down to log off.</w:t>
            </w:r>
          </w:p>
        </w:tc>
      </w:tr>
      <w:tr w:rsidR="00665484" w:rsidRPr="00E52AB2" w:rsidTr="00A04B1C">
        <w:trPr>
          <w:trHeight w:val="440"/>
        </w:trPr>
        <w:tc>
          <w:tcPr>
            <w:tcW w:w="1555" w:type="dxa"/>
          </w:tcPr>
          <w:p w:rsidR="00665484" w:rsidRPr="00E52AB2" w:rsidRDefault="00665484" w:rsidP="00160D2C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FDECF2D" wp14:editId="61BEC92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285115" cy="237490"/>
                  <wp:effectExtent l="0" t="0" r="635" b="0"/>
                  <wp:wrapTight wrapText="bothSides">
                    <wp:wrapPolygon edited="0">
                      <wp:start x="0" y="0"/>
                      <wp:lineTo x="0" y="19059"/>
                      <wp:lineTo x="20205" y="19059"/>
                      <wp:lineTo x="2020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p button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:rsidR="00665484" w:rsidRPr="00E52AB2" w:rsidRDefault="00665484" w:rsidP="00160D2C">
            <w:r w:rsidRPr="00E52AB2">
              <w:t>Help</w:t>
            </w:r>
          </w:p>
        </w:tc>
        <w:tc>
          <w:tcPr>
            <w:tcW w:w="6570" w:type="dxa"/>
          </w:tcPr>
          <w:p w:rsidR="00665484" w:rsidRPr="00E52AB2" w:rsidRDefault="00665484" w:rsidP="00160D2C">
            <w:r>
              <w:t>Shows you Cognos help.</w:t>
            </w:r>
          </w:p>
        </w:tc>
      </w:tr>
      <w:tr w:rsidR="00665484" w:rsidRPr="00E52AB2" w:rsidTr="00A04B1C">
        <w:tc>
          <w:tcPr>
            <w:tcW w:w="1555" w:type="dxa"/>
          </w:tcPr>
          <w:p w:rsidR="00665484" w:rsidRPr="00E52AB2" w:rsidRDefault="00665484" w:rsidP="00160D2C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F382599" wp14:editId="58075A8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285115" cy="218440"/>
                  <wp:effectExtent l="0" t="0" r="635" b="0"/>
                  <wp:wrapTight wrapText="bothSides">
                    <wp:wrapPolygon edited="0">
                      <wp:start x="0" y="0"/>
                      <wp:lineTo x="0" y="18837"/>
                      <wp:lineTo x="20205" y="18837"/>
                      <wp:lineTo x="20205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perties button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:rsidR="00665484" w:rsidRPr="00E52AB2" w:rsidRDefault="00665484" w:rsidP="00160D2C">
            <w:r>
              <w:t xml:space="preserve">Set </w:t>
            </w:r>
            <w:r w:rsidRPr="00E52AB2">
              <w:t>Properties</w:t>
            </w:r>
          </w:p>
        </w:tc>
        <w:tc>
          <w:tcPr>
            <w:tcW w:w="6570" w:type="dxa"/>
          </w:tcPr>
          <w:p w:rsidR="00665484" w:rsidRPr="00E52AB2" w:rsidRDefault="00665484" w:rsidP="00160D2C">
            <w:r>
              <w:t>Defines properties of report or any Cognos object.</w:t>
            </w:r>
          </w:p>
        </w:tc>
      </w:tr>
      <w:tr w:rsidR="00BD35E3" w:rsidRPr="00E52AB2" w:rsidTr="00A04B1C">
        <w:tc>
          <w:tcPr>
            <w:tcW w:w="1555" w:type="dxa"/>
          </w:tcPr>
          <w:p w:rsidR="00BD35E3" w:rsidRDefault="00BD35E3" w:rsidP="00160D2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283E10" wp14:editId="7BE1C9EB">
                  <wp:extent cx="361905" cy="190476"/>
                  <wp:effectExtent l="0" t="0" r="635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e Link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05" cy="1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BD35E3" w:rsidRPr="00E52AB2" w:rsidRDefault="00BD35E3" w:rsidP="00160D2C">
            <w:r>
              <w:t>More Link</w:t>
            </w:r>
          </w:p>
        </w:tc>
        <w:tc>
          <w:tcPr>
            <w:tcW w:w="6570" w:type="dxa"/>
          </w:tcPr>
          <w:p w:rsidR="00BD35E3" w:rsidRDefault="00BD35E3" w:rsidP="00BD35E3">
            <w:r>
              <w:t>Shows more options such as</w:t>
            </w:r>
            <w:r w:rsidRPr="00BD35E3">
              <w:t xml:space="preserve"> permissions to a particular object or even access to other modules of Cognos.</w:t>
            </w:r>
          </w:p>
        </w:tc>
      </w:tr>
      <w:tr w:rsidR="00665484" w:rsidRPr="00E52AB2" w:rsidTr="00A04B1C">
        <w:tc>
          <w:tcPr>
            <w:tcW w:w="1555" w:type="dxa"/>
          </w:tcPr>
          <w:p w:rsidR="00665484" w:rsidRPr="00E52AB2" w:rsidRDefault="00665484" w:rsidP="00160D2C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00C41F8" wp14:editId="114B9BD7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70485</wp:posOffset>
                  </wp:positionV>
                  <wp:extent cx="147320" cy="175895"/>
                  <wp:effectExtent l="0" t="0" r="5080" b="0"/>
                  <wp:wrapTight wrapText="bothSides">
                    <wp:wrapPolygon edited="0">
                      <wp:start x="0" y="0"/>
                      <wp:lineTo x="0" y="18715"/>
                      <wp:lineTo x="19552" y="18715"/>
                      <wp:lineTo x="1955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n button.png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67" t="11573" r="16555" b="17059"/>
                          <a:stretch/>
                        </pic:blipFill>
                        <pic:spPr bwMode="auto">
                          <a:xfrm>
                            <a:off x="0" y="0"/>
                            <a:ext cx="147320" cy="175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:rsidR="00665484" w:rsidRPr="00E52AB2" w:rsidRDefault="00665484" w:rsidP="00160D2C">
            <w:r w:rsidRPr="00E52AB2">
              <w:t>Run</w:t>
            </w:r>
          </w:p>
        </w:tc>
        <w:tc>
          <w:tcPr>
            <w:tcW w:w="6570" w:type="dxa"/>
          </w:tcPr>
          <w:p w:rsidR="00665484" w:rsidRPr="00E52AB2" w:rsidRDefault="00665484" w:rsidP="00160D2C">
            <w:r>
              <w:t>Runs a report.</w:t>
            </w:r>
            <w:r>
              <w:br/>
            </w:r>
            <w:r w:rsidRPr="00E84D02">
              <w:rPr>
                <w:i/>
              </w:rPr>
              <w:t>If currently in a report, will bring you back to prompt screen.</w:t>
            </w:r>
          </w:p>
        </w:tc>
      </w:tr>
      <w:tr w:rsidR="00665484" w:rsidRPr="00E52AB2" w:rsidTr="00A04B1C">
        <w:trPr>
          <w:trHeight w:val="350"/>
        </w:trPr>
        <w:tc>
          <w:tcPr>
            <w:tcW w:w="1555" w:type="dxa"/>
          </w:tcPr>
          <w:p w:rsidR="00665484" w:rsidRPr="00E52AB2" w:rsidRDefault="00665484" w:rsidP="00160D2C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CA64B4B" wp14:editId="32A33AF6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52705</wp:posOffset>
                  </wp:positionV>
                  <wp:extent cx="189230" cy="209550"/>
                  <wp:effectExtent l="0" t="0" r="1270" b="0"/>
                  <wp:wrapTight wrapText="bothSides">
                    <wp:wrapPolygon edited="0">
                      <wp:start x="0" y="0"/>
                      <wp:lineTo x="0" y="19636"/>
                      <wp:lineTo x="19570" y="19636"/>
                      <wp:lineTo x="1957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port Studio button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5" w:type="dxa"/>
          </w:tcPr>
          <w:p w:rsidR="00665484" w:rsidRPr="00E52AB2" w:rsidRDefault="00665484" w:rsidP="00160D2C">
            <w:r w:rsidRPr="00E52AB2">
              <w:t>Report Studio</w:t>
            </w:r>
          </w:p>
        </w:tc>
        <w:tc>
          <w:tcPr>
            <w:tcW w:w="6570" w:type="dxa"/>
          </w:tcPr>
          <w:p w:rsidR="00665484" w:rsidRPr="00E52AB2" w:rsidRDefault="00B0659E" w:rsidP="00160D2C">
            <w:r>
              <w:t>Links you to R</w:t>
            </w:r>
            <w:r w:rsidR="00665484">
              <w:t>eport Studio to edit existing report</w:t>
            </w:r>
            <w:r>
              <w:t xml:space="preserve">s or to build </w:t>
            </w:r>
            <w:r w:rsidR="00665484">
              <w:t>new report</w:t>
            </w:r>
            <w:r>
              <w:t>s</w:t>
            </w:r>
            <w:r w:rsidR="00665484">
              <w:t>.</w:t>
            </w:r>
          </w:p>
        </w:tc>
      </w:tr>
      <w:tr w:rsidR="00CA293F" w:rsidRPr="00E52AB2" w:rsidTr="00A04B1C">
        <w:trPr>
          <w:trHeight w:val="350"/>
        </w:trPr>
        <w:tc>
          <w:tcPr>
            <w:tcW w:w="1555" w:type="dxa"/>
          </w:tcPr>
          <w:p w:rsidR="00CA293F" w:rsidRDefault="00CA293F" w:rsidP="00160D2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19CA7B" wp14:editId="6779A5BA">
                  <wp:extent cx="523810" cy="18095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ue underscore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10" cy="1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CA293F" w:rsidRPr="00E52AB2" w:rsidRDefault="00CA293F" w:rsidP="00160D2C">
            <w:r>
              <w:t>Blue underscore</w:t>
            </w:r>
          </w:p>
        </w:tc>
        <w:tc>
          <w:tcPr>
            <w:tcW w:w="6570" w:type="dxa"/>
          </w:tcPr>
          <w:p w:rsidR="00CA293F" w:rsidRDefault="00CA293F" w:rsidP="00160D2C">
            <w:r w:rsidRPr="00CA293F">
              <w:t xml:space="preserve">Signify </w:t>
            </w:r>
            <w:r>
              <w:t xml:space="preserve">values that have </w:t>
            </w:r>
            <w:r w:rsidRPr="00CA293F">
              <w:t xml:space="preserve">drill-through </w:t>
            </w:r>
            <w:r w:rsidRPr="005D4547">
              <w:t xml:space="preserve">access to </w:t>
            </w:r>
            <w:r>
              <w:t>reports with more detail.</w:t>
            </w:r>
          </w:p>
        </w:tc>
      </w:tr>
      <w:tr w:rsidR="00BE541F" w:rsidRPr="00E52AB2" w:rsidTr="00A04B1C">
        <w:trPr>
          <w:trHeight w:val="350"/>
        </w:trPr>
        <w:tc>
          <w:tcPr>
            <w:tcW w:w="1555" w:type="dxa"/>
          </w:tcPr>
          <w:p w:rsidR="00BE541F" w:rsidRDefault="00BE541F" w:rsidP="00160D2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D7B0A1" wp14:editId="2D9FE515">
                  <wp:extent cx="447619" cy="200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turn to drill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19" cy="2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BE541F" w:rsidRDefault="00211ED7" w:rsidP="00160D2C">
            <w:r>
              <w:t>Previous Report</w:t>
            </w:r>
          </w:p>
        </w:tc>
        <w:tc>
          <w:tcPr>
            <w:tcW w:w="6570" w:type="dxa"/>
          </w:tcPr>
          <w:p w:rsidR="00BE541F" w:rsidRPr="00CA293F" w:rsidRDefault="00A04B1C" w:rsidP="00A04B1C">
            <w:r>
              <w:t xml:space="preserve">Returns you to the original report after using a drill through link such as returning to a summary report after drilling to a detail report.  </w:t>
            </w:r>
          </w:p>
        </w:tc>
      </w:tr>
      <w:tr w:rsidR="00CA293F" w:rsidRPr="00E52AB2" w:rsidTr="00A04B1C">
        <w:trPr>
          <w:trHeight w:val="332"/>
        </w:trPr>
        <w:tc>
          <w:tcPr>
            <w:tcW w:w="3240" w:type="dxa"/>
            <w:gridSpan w:val="2"/>
          </w:tcPr>
          <w:p w:rsidR="00CA293F" w:rsidRPr="00E52AB2" w:rsidRDefault="00CA293F" w:rsidP="00160D2C">
            <w:r>
              <w:rPr>
                <w:noProof/>
              </w:rPr>
              <w:drawing>
                <wp:inline distT="0" distB="0" distL="0" distR="0" wp14:anchorId="6A24333D" wp14:editId="09CE987C">
                  <wp:extent cx="2085714" cy="171429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ge up down button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714" cy="1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</w:tcPr>
          <w:p w:rsidR="00CA293F" w:rsidRDefault="00B231B6" w:rsidP="00160D2C">
            <w:r>
              <w:t>A</w:t>
            </w:r>
            <w:r w:rsidR="00CA293F" w:rsidRPr="0033106E">
              <w:t xml:space="preserve">rrows used </w:t>
            </w:r>
            <w:r w:rsidR="00CA293F">
              <w:t>for moving</w:t>
            </w:r>
            <w:r w:rsidR="00CA293F" w:rsidRPr="0033106E">
              <w:t xml:space="preserve"> from page to page in the report</w:t>
            </w:r>
            <w:r w:rsidR="00CA293F">
              <w:t>.</w:t>
            </w:r>
          </w:p>
        </w:tc>
      </w:tr>
    </w:tbl>
    <w:p w:rsidR="00665484" w:rsidRDefault="00665484" w:rsidP="00F60DE4">
      <w:bookmarkStart w:id="0" w:name="_GoBack"/>
      <w:bookmarkEnd w:id="0"/>
    </w:p>
    <w:sectPr w:rsidR="00665484" w:rsidSect="00C520D4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0B0" w:rsidRDefault="002F00B0" w:rsidP="00C115AF">
      <w:pPr>
        <w:spacing w:after="0" w:line="240" w:lineRule="auto"/>
      </w:pPr>
      <w:r>
        <w:separator/>
      </w:r>
    </w:p>
  </w:endnote>
  <w:endnote w:type="continuationSeparator" w:id="0">
    <w:p w:rsidR="002F00B0" w:rsidRDefault="002F00B0" w:rsidP="00C1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523"/>
      <w:gridCol w:w="4053"/>
    </w:tblGrid>
    <w:tr w:rsidR="005477DF" w:rsidRPr="003B44BE" w:rsidTr="00DD36D4">
      <w:tc>
        <w:tcPr>
          <w:tcW w:w="6318" w:type="dxa"/>
        </w:tcPr>
        <w:p w:rsidR="005477DF" w:rsidRPr="003B44BE" w:rsidRDefault="005477DF" w:rsidP="00210C7E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Times New Roman" w:hAnsi="Calibri" w:cs="Calibri"/>
              <w:sz w:val="16"/>
              <w:szCs w:val="16"/>
            </w:rPr>
          </w:pPr>
          <w:r w:rsidRPr="003B44BE">
            <w:rPr>
              <w:rFonts w:ascii="Calibri" w:eastAsia="Times New Roman" w:hAnsi="Calibri" w:cs="Calibri"/>
              <w:sz w:val="16"/>
              <w:szCs w:val="16"/>
            </w:rPr>
            <w:t>Copyright © 201</w:t>
          </w:r>
          <w:r w:rsidR="00210C7E">
            <w:rPr>
              <w:rFonts w:ascii="Calibri" w:eastAsia="Times New Roman" w:hAnsi="Calibri" w:cs="Calibri"/>
              <w:sz w:val="16"/>
              <w:szCs w:val="16"/>
            </w:rPr>
            <w:t>2</w:t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t xml:space="preserve"> by Massachusetts Institute of Technology. All Rights Reserved</w:t>
          </w:r>
        </w:p>
      </w:tc>
      <w:tc>
        <w:tcPr>
          <w:tcW w:w="4698" w:type="dxa"/>
        </w:tcPr>
        <w:p w:rsidR="005477DF" w:rsidRPr="003B44BE" w:rsidRDefault="005477DF" w:rsidP="00DD36D4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Times New Roman" w:hAnsi="Calibri" w:cs="Calibri"/>
              <w:sz w:val="16"/>
              <w:szCs w:val="16"/>
            </w:rPr>
          </w:pPr>
          <w:r w:rsidRPr="003B44BE">
            <w:rPr>
              <w:rFonts w:ascii="Calibri" w:eastAsia="Times New Roman" w:hAnsi="Calibri" w:cs="Calibri"/>
              <w:sz w:val="16"/>
              <w:szCs w:val="16"/>
            </w:rPr>
            <w:t xml:space="preserve">Page </w:t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fldChar w:fldCharType="begin"/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instrText xml:space="preserve"> PAGE   \* MERGEFORMAT </w:instrText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fldChar w:fldCharType="separate"/>
          </w:r>
          <w:r w:rsidR="00527CC2">
            <w:rPr>
              <w:rFonts w:ascii="Calibri" w:eastAsia="Times New Roman" w:hAnsi="Calibri" w:cs="Calibri"/>
              <w:noProof/>
              <w:sz w:val="16"/>
              <w:szCs w:val="16"/>
            </w:rPr>
            <w:t>2</w:t>
          </w:r>
          <w:r w:rsidRPr="003B44BE">
            <w:rPr>
              <w:rFonts w:ascii="Calibri" w:eastAsia="Times New Roman" w:hAnsi="Calibri" w:cs="Calibri"/>
              <w:sz w:val="16"/>
              <w:szCs w:val="16"/>
            </w:rPr>
            <w:fldChar w:fldCharType="end"/>
          </w:r>
        </w:p>
      </w:tc>
    </w:tr>
  </w:tbl>
  <w:p w:rsidR="005477DF" w:rsidRDefault="00547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0B0" w:rsidRDefault="002F00B0" w:rsidP="00C115AF">
      <w:pPr>
        <w:spacing w:after="0" w:line="240" w:lineRule="auto"/>
      </w:pPr>
      <w:r>
        <w:separator/>
      </w:r>
    </w:p>
  </w:footnote>
  <w:footnote w:type="continuationSeparator" w:id="0">
    <w:p w:rsidR="002F00B0" w:rsidRDefault="002F00B0" w:rsidP="00C1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650"/>
      <w:gridCol w:w="4481"/>
      <w:gridCol w:w="2445"/>
    </w:tblGrid>
    <w:tr w:rsidR="00C115AF" w:rsidTr="00C115AF">
      <w:tc>
        <w:tcPr>
          <w:tcW w:w="2808" w:type="dxa"/>
          <w:tcBorders>
            <w:bottom w:val="nil"/>
          </w:tcBorders>
          <w:vAlign w:val="center"/>
        </w:tcPr>
        <w:p w:rsidR="00C115AF" w:rsidRDefault="00C115AF" w:rsidP="008D6243">
          <w:pPr>
            <w:pStyle w:val="Header"/>
          </w:pPr>
          <w:r>
            <w:rPr>
              <w:noProof/>
            </w:rPr>
            <w:drawing>
              <wp:inline distT="0" distB="0" distL="0" distR="0" wp14:anchorId="490489F0" wp14:editId="4E2CA756">
                <wp:extent cx="1209675" cy="226814"/>
                <wp:effectExtent l="0" t="0" r="0" b="1905"/>
                <wp:docPr id="4" name="Picture 4" descr="ISTLogostyle03-500px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TLogostyle03-500px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226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tcBorders>
            <w:bottom w:val="nil"/>
          </w:tcBorders>
          <w:vAlign w:val="bottom"/>
        </w:tcPr>
        <w:p w:rsidR="00C35BCF" w:rsidRPr="00C35BCF" w:rsidRDefault="00C35BCF" w:rsidP="003D67A6">
          <w:pPr>
            <w:pStyle w:val="Heading1"/>
            <w:spacing w:after="0" w:line="240" w:lineRule="auto"/>
            <w:jc w:val="center"/>
            <w:rPr>
              <w:b w:val="0"/>
              <w:color w:val="C00000"/>
              <w:sz w:val="24"/>
              <w:szCs w:val="24"/>
            </w:rPr>
          </w:pPr>
        </w:p>
      </w:tc>
      <w:tc>
        <w:tcPr>
          <w:tcW w:w="2448" w:type="dxa"/>
          <w:tcBorders>
            <w:bottom w:val="nil"/>
          </w:tcBorders>
          <w:vAlign w:val="center"/>
        </w:tcPr>
        <w:p w:rsidR="00C115AF" w:rsidRDefault="00C115AF" w:rsidP="008D6243">
          <w:pPr>
            <w:pStyle w:val="Header"/>
          </w:pPr>
          <w:r>
            <w:rPr>
              <w:noProof/>
            </w:rPr>
            <w:drawing>
              <wp:inline distT="0" distB="0" distL="0" distR="0" wp14:anchorId="221C5E58" wp14:editId="355C101D">
                <wp:extent cx="1404938" cy="285750"/>
                <wp:effectExtent l="0" t="0" r="5080" b="0"/>
                <wp:docPr id="5" name="Picture 5" descr="MITLogo-Poster-s4_b_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TLogo-Poster-s4_b_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4938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15AF" w:rsidRDefault="00C115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74C"/>
    <w:multiLevelType w:val="hybridMultilevel"/>
    <w:tmpl w:val="99362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5CBF"/>
    <w:multiLevelType w:val="hybridMultilevel"/>
    <w:tmpl w:val="4D7C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BC9"/>
    <w:multiLevelType w:val="hybridMultilevel"/>
    <w:tmpl w:val="77C68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459B4"/>
    <w:multiLevelType w:val="hybridMultilevel"/>
    <w:tmpl w:val="333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14544"/>
    <w:multiLevelType w:val="hybridMultilevel"/>
    <w:tmpl w:val="7D909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1FF"/>
    <w:multiLevelType w:val="hybridMultilevel"/>
    <w:tmpl w:val="75FCD2C0"/>
    <w:lvl w:ilvl="0" w:tplc="E21CD4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F1501"/>
    <w:multiLevelType w:val="hybridMultilevel"/>
    <w:tmpl w:val="F7EC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731C5"/>
    <w:multiLevelType w:val="hybridMultilevel"/>
    <w:tmpl w:val="A19A2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D2DC8"/>
    <w:multiLevelType w:val="hybridMultilevel"/>
    <w:tmpl w:val="197E3664"/>
    <w:lvl w:ilvl="0" w:tplc="6262B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00553"/>
    <w:multiLevelType w:val="multilevel"/>
    <w:tmpl w:val="D89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30F9A"/>
    <w:multiLevelType w:val="multilevel"/>
    <w:tmpl w:val="5A0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B7301"/>
    <w:multiLevelType w:val="hybridMultilevel"/>
    <w:tmpl w:val="5C442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C07B0"/>
    <w:multiLevelType w:val="hybridMultilevel"/>
    <w:tmpl w:val="4E4E7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410C5"/>
    <w:multiLevelType w:val="hybridMultilevel"/>
    <w:tmpl w:val="FD3A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93B0A"/>
    <w:multiLevelType w:val="hybridMultilevel"/>
    <w:tmpl w:val="509C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C51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0D4E28"/>
    <w:multiLevelType w:val="hybridMultilevel"/>
    <w:tmpl w:val="317C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C0C57"/>
    <w:multiLevelType w:val="hybridMultilevel"/>
    <w:tmpl w:val="433499F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4BBC356F"/>
    <w:multiLevelType w:val="hybridMultilevel"/>
    <w:tmpl w:val="E7705536"/>
    <w:lvl w:ilvl="0" w:tplc="E21CD4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94098"/>
    <w:multiLevelType w:val="hybridMultilevel"/>
    <w:tmpl w:val="B74A2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76E46"/>
    <w:multiLevelType w:val="hybridMultilevel"/>
    <w:tmpl w:val="843EC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B7FF6"/>
    <w:multiLevelType w:val="hybridMultilevel"/>
    <w:tmpl w:val="B8BA4D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9560E"/>
    <w:multiLevelType w:val="hybridMultilevel"/>
    <w:tmpl w:val="509CF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5768D"/>
    <w:multiLevelType w:val="hybridMultilevel"/>
    <w:tmpl w:val="696CF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15063"/>
    <w:multiLevelType w:val="hybridMultilevel"/>
    <w:tmpl w:val="3EF6D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E0F33"/>
    <w:multiLevelType w:val="hybridMultilevel"/>
    <w:tmpl w:val="99362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538CE"/>
    <w:multiLevelType w:val="multilevel"/>
    <w:tmpl w:val="E300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541192"/>
    <w:multiLevelType w:val="hybridMultilevel"/>
    <w:tmpl w:val="3312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7042E"/>
    <w:multiLevelType w:val="multilevel"/>
    <w:tmpl w:val="042E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2C55D2"/>
    <w:multiLevelType w:val="hybridMultilevel"/>
    <w:tmpl w:val="060AE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DC5B47"/>
    <w:multiLevelType w:val="hybridMultilevel"/>
    <w:tmpl w:val="01ECF19A"/>
    <w:lvl w:ilvl="0" w:tplc="34B45E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8002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D86D0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2B25B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CA1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E2A0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1C81A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2146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F6B9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>
    <w:nsid w:val="7A403799"/>
    <w:multiLevelType w:val="hybridMultilevel"/>
    <w:tmpl w:val="3962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21A24"/>
    <w:multiLevelType w:val="hybridMultilevel"/>
    <w:tmpl w:val="340AC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5"/>
  </w:num>
  <w:num w:numId="5">
    <w:abstractNumId w:val="26"/>
  </w:num>
  <w:num w:numId="6">
    <w:abstractNumId w:val="14"/>
  </w:num>
  <w:num w:numId="7">
    <w:abstractNumId w:val="10"/>
  </w:num>
  <w:num w:numId="8">
    <w:abstractNumId w:val="17"/>
  </w:num>
  <w:num w:numId="9">
    <w:abstractNumId w:val="1"/>
  </w:num>
  <w:num w:numId="10">
    <w:abstractNumId w:val="28"/>
  </w:num>
  <w:num w:numId="11">
    <w:abstractNumId w:val="9"/>
  </w:num>
  <w:num w:numId="12">
    <w:abstractNumId w:val="22"/>
  </w:num>
  <w:num w:numId="13">
    <w:abstractNumId w:val="4"/>
  </w:num>
  <w:num w:numId="14">
    <w:abstractNumId w:val="25"/>
  </w:num>
  <w:num w:numId="15">
    <w:abstractNumId w:val="0"/>
  </w:num>
  <w:num w:numId="16">
    <w:abstractNumId w:val="7"/>
  </w:num>
  <w:num w:numId="17">
    <w:abstractNumId w:val="32"/>
  </w:num>
  <w:num w:numId="18">
    <w:abstractNumId w:val="16"/>
  </w:num>
  <w:num w:numId="19">
    <w:abstractNumId w:val="24"/>
  </w:num>
  <w:num w:numId="20">
    <w:abstractNumId w:val="27"/>
  </w:num>
  <w:num w:numId="21">
    <w:abstractNumId w:val="6"/>
  </w:num>
  <w:num w:numId="22">
    <w:abstractNumId w:val="31"/>
  </w:num>
  <w:num w:numId="23">
    <w:abstractNumId w:val="2"/>
  </w:num>
  <w:num w:numId="24">
    <w:abstractNumId w:val="3"/>
  </w:num>
  <w:num w:numId="25">
    <w:abstractNumId w:val="29"/>
  </w:num>
  <w:num w:numId="26">
    <w:abstractNumId w:val="30"/>
  </w:num>
  <w:num w:numId="27">
    <w:abstractNumId w:val="13"/>
  </w:num>
  <w:num w:numId="28">
    <w:abstractNumId w:val="20"/>
  </w:num>
  <w:num w:numId="29">
    <w:abstractNumId w:val="12"/>
  </w:num>
  <w:num w:numId="30">
    <w:abstractNumId w:val="19"/>
  </w:num>
  <w:num w:numId="31">
    <w:abstractNumId w:val="11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3C"/>
    <w:rsid w:val="00022052"/>
    <w:rsid w:val="00032F00"/>
    <w:rsid w:val="00052AC4"/>
    <w:rsid w:val="00062BDF"/>
    <w:rsid w:val="000810FC"/>
    <w:rsid w:val="00093D3B"/>
    <w:rsid w:val="000B77BC"/>
    <w:rsid w:val="000D13EE"/>
    <w:rsid w:val="000E3245"/>
    <w:rsid w:val="000E7C81"/>
    <w:rsid w:val="000E7E39"/>
    <w:rsid w:val="00102F54"/>
    <w:rsid w:val="001146D1"/>
    <w:rsid w:val="00115ACF"/>
    <w:rsid w:val="00123233"/>
    <w:rsid w:val="00172AC7"/>
    <w:rsid w:val="001C2C8C"/>
    <w:rsid w:val="001C367F"/>
    <w:rsid w:val="001D2571"/>
    <w:rsid w:val="001D562B"/>
    <w:rsid w:val="00210C7E"/>
    <w:rsid w:val="00211ED7"/>
    <w:rsid w:val="0022003C"/>
    <w:rsid w:val="002706A6"/>
    <w:rsid w:val="00280096"/>
    <w:rsid w:val="00286541"/>
    <w:rsid w:val="002F00B0"/>
    <w:rsid w:val="00301F28"/>
    <w:rsid w:val="00305790"/>
    <w:rsid w:val="00334E35"/>
    <w:rsid w:val="00382DA6"/>
    <w:rsid w:val="003A1B68"/>
    <w:rsid w:val="003D67A6"/>
    <w:rsid w:val="00403F2A"/>
    <w:rsid w:val="00405C06"/>
    <w:rsid w:val="00412401"/>
    <w:rsid w:val="0042039C"/>
    <w:rsid w:val="0042319B"/>
    <w:rsid w:val="004272F0"/>
    <w:rsid w:val="00434D43"/>
    <w:rsid w:val="0043783F"/>
    <w:rsid w:val="00455028"/>
    <w:rsid w:val="00456A36"/>
    <w:rsid w:val="004B3497"/>
    <w:rsid w:val="004B5802"/>
    <w:rsid w:val="004E4605"/>
    <w:rsid w:val="005004BA"/>
    <w:rsid w:val="00527CC2"/>
    <w:rsid w:val="00530789"/>
    <w:rsid w:val="005477DF"/>
    <w:rsid w:val="00555589"/>
    <w:rsid w:val="00575A59"/>
    <w:rsid w:val="00576B85"/>
    <w:rsid w:val="005B5E80"/>
    <w:rsid w:val="005C50B7"/>
    <w:rsid w:val="005C7BA8"/>
    <w:rsid w:val="005E322C"/>
    <w:rsid w:val="005E7EA7"/>
    <w:rsid w:val="005F50A9"/>
    <w:rsid w:val="0062276F"/>
    <w:rsid w:val="00636A8F"/>
    <w:rsid w:val="00665484"/>
    <w:rsid w:val="0067397B"/>
    <w:rsid w:val="006B0AB0"/>
    <w:rsid w:val="006B71D7"/>
    <w:rsid w:val="006D034B"/>
    <w:rsid w:val="006D5894"/>
    <w:rsid w:val="006D7F4B"/>
    <w:rsid w:val="007012FD"/>
    <w:rsid w:val="00712098"/>
    <w:rsid w:val="00720EF9"/>
    <w:rsid w:val="007258C5"/>
    <w:rsid w:val="00742767"/>
    <w:rsid w:val="00745992"/>
    <w:rsid w:val="007659D3"/>
    <w:rsid w:val="00773F60"/>
    <w:rsid w:val="0077645E"/>
    <w:rsid w:val="00795565"/>
    <w:rsid w:val="007B1A98"/>
    <w:rsid w:val="007B21CA"/>
    <w:rsid w:val="007B6E0D"/>
    <w:rsid w:val="007E72CA"/>
    <w:rsid w:val="00816D64"/>
    <w:rsid w:val="008171BE"/>
    <w:rsid w:val="008301D0"/>
    <w:rsid w:val="00830E81"/>
    <w:rsid w:val="008541D4"/>
    <w:rsid w:val="008578CD"/>
    <w:rsid w:val="008772C4"/>
    <w:rsid w:val="0089020C"/>
    <w:rsid w:val="00897A51"/>
    <w:rsid w:val="008B4BF3"/>
    <w:rsid w:val="008C4C1F"/>
    <w:rsid w:val="00907257"/>
    <w:rsid w:val="00916868"/>
    <w:rsid w:val="00916D9F"/>
    <w:rsid w:val="00924583"/>
    <w:rsid w:val="009410D4"/>
    <w:rsid w:val="00944B02"/>
    <w:rsid w:val="00975116"/>
    <w:rsid w:val="00975701"/>
    <w:rsid w:val="009A1FE0"/>
    <w:rsid w:val="009C559B"/>
    <w:rsid w:val="009E4EDB"/>
    <w:rsid w:val="00A04B1C"/>
    <w:rsid w:val="00A146A7"/>
    <w:rsid w:val="00A22E99"/>
    <w:rsid w:val="00A31D3C"/>
    <w:rsid w:val="00A3212B"/>
    <w:rsid w:val="00A362D0"/>
    <w:rsid w:val="00A4118B"/>
    <w:rsid w:val="00A52C52"/>
    <w:rsid w:val="00A6393B"/>
    <w:rsid w:val="00A76043"/>
    <w:rsid w:val="00A77973"/>
    <w:rsid w:val="00AA2799"/>
    <w:rsid w:val="00AA4891"/>
    <w:rsid w:val="00AF0B0B"/>
    <w:rsid w:val="00AF2921"/>
    <w:rsid w:val="00B0659E"/>
    <w:rsid w:val="00B079D1"/>
    <w:rsid w:val="00B231B6"/>
    <w:rsid w:val="00B46559"/>
    <w:rsid w:val="00B50FE0"/>
    <w:rsid w:val="00B51AC4"/>
    <w:rsid w:val="00B73628"/>
    <w:rsid w:val="00B864D8"/>
    <w:rsid w:val="00B9425C"/>
    <w:rsid w:val="00BC507E"/>
    <w:rsid w:val="00BD35E3"/>
    <w:rsid w:val="00BE541F"/>
    <w:rsid w:val="00BF23D8"/>
    <w:rsid w:val="00C04754"/>
    <w:rsid w:val="00C115AF"/>
    <w:rsid w:val="00C17845"/>
    <w:rsid w:val="00C23038"/>
    <w:rsid w:val="00C322E6"/>
    <w:rsid w:val="00C35BCF"/>
    <w:rsid w:val="00C520D4"/>
    <w:rsid w:val="00C67D6C"/>
    <w:rsid w:val="00CA09F5"/>
    <w:rsid w:val="00CA293F"/>
    <w:rsid w:val="00CB4835"/>
    <w:rsid w:val="00CC1D85"/>
    <w:rsid w:val="00CF7BE1"/>
    <w:rsid w:val="00D36A2B"/>
    <w:rsid w:val="00D43662"/>
    <w:rsid w:val="00D9365E"/>
    <w:rsid w:val="00DA7E83"/>
    <w:rsid w:val="00DB4672"/>
    <w:rsid w:val="00DD2F81"/>
    <w:rsid w:val="00DD68A5"/>
    <w:rsid w:val="00DE193E"/>
    <w:rsid w:val="00DE534D"/>
    <w:rsid w:val="00E23B1B"/>
    <w:rsid w:val="00E24F96"/>
    <w:rsid w:val="00E25641"/>
    <w:rsid w:val="00E33355"/>
    <w:rsid w:val="00E36282"/>
    <w:rsid w:val="00E52AB2"/>
    <w:rsid w:val="00E6268F"/>
    <w:rsid w:val="00E81154"/>
    <w:rsid w:val="00E84D02"/>
    <w:rsid w:val="00E93D03"/>
    <w:rsid w:val="00EA6478"/>
    <w:rsid w:val="00EC34D9"/>
    <w:rsid w:val="00ED55DB"/>
    <w:rsid w:val="00EE1D42"/>
    <w:rsid w:val="00EF1C23"/>
    <w:rsid w:val="00F40C9F"/>
    <w:rsid w:val="00F515EF"/>
    <w:rsid w:val="00F60DE4"/>
    <w:rsid w:val="00F805DE"/>
    <w:rsid w:val="00F86BE4"/>
    <w:rsid w:val="00FA26E9"/>
    <w:rsid w:val="00FC4B29"/>
    <w:rsid w:val="00FD69FE"/>
    <w:rsid w:val="00FE1468"/>
    <w:rsid w:val="00FE3D36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D0"/>
    <w:pPr>
      <w:jc w:val="lef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038"/>
    <w:pPr>
      <w:spacing w:before="300" w:after="40"/>
      <w:outlineLvl w:val="0"/>
    </w:pPr>
    <w:rPr>
      <w:b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3EE"/>
    <w:pPr>
      <w:keepNext/>
      <w:spacing w:before="240" w:after="80"/>
      <w:outlineLvl w:val="1"/>
    </w:pPr>
    <w:rPr>
      <w:smallCaps/>
      <w:spacing w:val="5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3EE"/>
    <w:pPr>
      <w:spacing w:after="0"/>
      <w:outlineLvl w:val="2"/>
    </w:pPr>
    <w:rPr>
      <w:i/>
      <w:smallCaps/>
      <w:color w:val="1F497D" w:themeColor="text2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83F"/>
    <w:pPr>
      <w:spacing w:before="240" w:after="0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83F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83F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83F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83F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83F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8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3038"/>
    <w:rPr>
      <w:b/>
      <w:smallCaps/>
      <w:spacing w:val="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3783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3783F"/>
    <w:rPr>
      <w:smallCap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13EE"/>
    <w:rPr>
      <w:smallCaps/>
      <w:spacing w:val="5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13EE"/>
    <w:rPr>
      <w:i/>
      <w:smallCaps/>
      <w:color w:val="1F497D" w:themeColor="text2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83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83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83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83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83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83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43783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83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783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43783F"/>
    <w:rPr>
      <w:b/>
      <w:color w:val="C0504D" w:themeColor="accent2"/>
    </w:rPr>
  </w:style>
  <w:style w:type="character" w:styleId="Emphasis">
    <w:name w:val="Emphasis"/>
    <w:uiPriority w:val="20"/>
    <w:qFormat/>
    <w:rsid w:val="0043783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378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3783F"/>
  </w:style>
  <w:style w:type="paragraph" w:styleId="Quote">
    <w:name w:val="Quote"/>
    <w:basedOn w:val="Normal"/>
    <w:next w:val="Normal"/>
    <w:link w:val="QuoteChar"/>
    <w:uiPriority w:val="29"/>
    <w:qFormat/>
    <w:rsid w:val="0043783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783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83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83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43783F"/>
    <w:rPr>
      <w:i/>
    </w:rPr>
  </w:style>
  <w:style w:type="character" w:styleId="IntenseEmphasis">
    <w:name w:val="Intense Emphasis"/>
    <w:uiPriority w:val="21"/>
    <w:qFormat/>
    <w:rsid w:val="0043783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43783F"/>
    <w:rPr>
      <w:b/>
    </w:rPr>
  </w:style>
  <w:style w:type="character" w:styleId="IntenseReference">
    <w:name w:val="Intense Reference"/>
    <w:uiPriority w:val="32"/>
    <w:qFormat/>
    <w:rsid w:val="0043783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3783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783F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C1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15AF"/>
  </w:style>
  <w:style w:type="paragraph" w:styleId="Footer">
    <w:name w:val="footer"/>
    <w:basedOn w:val="Normal"/>
    <w:link w:val="FooterChar"/>
    <w:uiPriority w:val="99"/>
    <w:unhideWhenUsed/>
    <w:rsid w:val="00C1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5AF"/>
  </w:style>
  <w:style w:type="paragraph" w:styleId="PlainText">
    <w:name w:val="Plain Text"/>
    <w:basedOn w:val="Normal"/>
    <w:link w:val="PlainTextChar"/>
    <w:uiPriority w:val="99"/>
    <w:unhideWhenUsed/>
    <w:rsid w:val="00FC4B2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4B29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52A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93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D3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D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D0"/>
    <w:pPr>
      <w:jc w:val="lef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038"/>
    <w:pPr>
      <w:spacing w:before="300" w:after="40"/>
      <w:outlineLvl w:val="0"/>
    </w:pPr>
    <w:rPr>
      <w:b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3EE"/>
    <w:pPr>
      <w:keepNext/>
      <w:spacing w:before="240" w:after="80"/>
      <w:outlineLvl w:val="1"/>
    </w:pPr>
    <w:rPr>
      <w:smallCaps/>
      <w:spacing w:val="5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3EE"/>
    <w:pPr>
      <w:spacing w:after="0"/>
      <w:outlineLvl w:val="2"/>
    </w:pPr>
    <w:rPr>
      <w:i/>
      <w:smallCaps/>
      <w:color w:val="1F497D" w:themeColor="text2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83F"/>
    <w:pPr>
      <w:spacing w:before="240" w:after="0"/>
      <w:outlineLvl w:val="3"/>
    </w:pPr>
    <w:rPr>
      <w:smallCaps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83F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83F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83F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83F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83F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8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3038"/>
    <w:rPr>
      <w:b/>
      <w:smallCaps/>
      <w:spacing w:val="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3783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3783F"/>
    <w:rPr>
      <w:smallCap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13EE"/>
    <w:rPr>
      <w:smallCaps/>
      <w:spacing w:val="5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13EE"/>
    <w:rPr>
      <w:i/>
      <w:smallCaps/>
      <w:color w:val="1F497D" w:themeColor="text2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83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83F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83F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83F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83F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83F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43783F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83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783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43783F"/>
    <w:rPr>
      <w:b/>
      <w:color w:val="C0504D" w:themeColor="accent2"/>
    </w:rPr>
  </w:style>
  <w:style w:type="character" w:styleId="Emphasis">
    <w:name w:val="Emphasis"/>
    <w:uiPriority w:val="20"/>
    <w:qFormat/>
    <w:rsid w:val="0043783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3783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3783F"/>
  </w:style>
  <w:style w:type="paragraph" w:styleId="Quote">
    <w:name w:val="Quote"/>
    <w:basedOn w:val="Normal"/>
    <w:next w:val="Normal"/>
    <w:link w:val="QuoteChar"/>
    <w:uiPriority w:val="29"/>
    <w:qFormat/>
    <w:rsid w:val="0043783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783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83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83F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43783F"/>
    <w:rPr>
      <w:i/>
    </w:rPr>
  </w:style>
  <w:style w:type="character" w:styleId="IntenseEmphasis">
    <w:name w:val="Intense Emphasis"/>
    <w:uiPriority w:val="21"/>
    <w:qFormat/>
    <w:rsid w:val="0043783F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43783F"/>
    <w:rPr>
      <w:b/>
    </w:rPr>
  </w:style>
  <w:style w:type="character" w:styleId="IntenseReference">
    <w:name w:val="Intense Reference"/>
    <w:uiPriority w:val="32"/>
    <w:qFormat/>
    <w:rsid w:val="0043783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3783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783F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C1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15AF"/>
  </w:style>
  <w:style w:type="paragraph" w:styleId="Footer">
    <w:name w:val="footer"/>
    <w:basedOn w:val="Normal"/>
    <w:link w:val="FooterChar"/>
    <w:uiPriority w:val="99"/>
    <w:unhideWhenUsed/>
    <w:rsid w:val="00C1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5AF"/>
  </w:style>
  <w:style w:type="paragraph" w:styleId="PlainText">
    <w:name w:val="Plain Text"/>
    <w:basedOn w:val="Normal"/>
    <w:link w:val="PlainTextChar"/>
    <w:uiPriority w:val="99"/>
    <w:unhideWhenUsed/>
    <w:rsid w:val="00FC4B2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4B29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52A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93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D3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D3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s://reports.mit.ed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0A92-0F2F-47F3-A227-A6600C34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Davies</dc:creator>
  <cp:lastModifiedBy>kfontane</cp:lastModifiedBy>
  <cp:revision>19</cp:revision>
  <cp:lastPrinted>2012-03-07T15:48:00Z</cp:lastPrinted>
  <dcterms:created xsi:type="dcterms:W3CDTF">2012-09-12T16:30:00Z</dcterms:created>
  <dcterms:modified xsi:type="dcterms:W3CDTF">2012-11-28T18:30:00Z</dcterms:modified>
</cp:coreProperties>
</file>