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8C6A7" w14:textId="35697B5D" w:rsidR="00AD6F5E" w:rsidRPr="005127FD" w:rsidRDefault="002665EC" w:rsidP="007473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  <w:t xml:space="preserve">IPIA </w:t>
      </w:r>
      <w:r w:rsidR="00AD6F5E" w:rsidRPr="005127FD"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  <w:t>Guidance for Administrators</w:t>
      </w:r>
    </w:p>
    <w:p w14:paraId="3D1FD25E" w14:textId="7D944AC9" w:rsidR="002365A5" w:rsidRDefault="002365A5" w:rsidP="00031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</w:pPr>
    </w:p>
    <w:p w14:paraId="76273007" w14:textId="0CB0FD82" w:rsidR="0003144B" w:rsidRPr="005127FD" w:rsidRDefault="0003144B" w:rsidP="00031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  <w:t>Requirement</w:t>
      </w:r>
    </w:p>
    <w:p w14:paraId="58B3975B" w14:textId="6715B6C0" w:rsidR="002A526C" w:rsidRPr="00367FC2" w:rsidRDefault="00764236" w:rsidP="00367FC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>With limited exception (see below), e</w:t>
      </w:r>
      <w:r w:rsidR="0003144B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very </w:t>
      </w:r>
      <w:r w:rsidR="000F29B0">
        <w:rPr>
          <w:rFonts w:ascii="Times New Roman" w:eastAsia="Times New Roman" w:hAnsi="Times New Roman" w:cs="Times New Roman"/>
          <w:color w:val="252525"/>
          <w:sz w:val="19"/>
          <w:szCs w:val="19"/>
        </w:rPr>
        <w:t>faculty, research staff</w:t>
      </w:r>
      <w:r w:rsidR="005976CF">
        <w:rPr>
          <w:rFonts w:ascii="Times New Roman" w:eastAsia="Times New Roman" w:hAnsi="Times New Roman" w:cs="Times New Roman"/>
          <w:color w:val="252525"/>
          <w:sz w:val="19"/>
          <w:szCs w:val="19"/>
        </w:rPr>
        <w:t>,</w:t>
      </w:r>
      <w:r w:rsidR="0003144B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  <w:r w:rsidR="000F29B0">
        <w:rPr>
          <w:rFonts w:ascii="Times New Roman" w:eastAsia="Times New Roman" w:hAnsi="Times New Roman" w:cs="Times New Roman"/>
          <w:color w:val="252525"/>
          <w:sz w:val="19"/>
          <w:szCs w:val="19"/>
        </w:rPr>
        <w:t>visitor, affiliate, and student</w:t>
      </w:r>
      <w:r w:rsidR="0003144B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who conducts research at (or administered by) MIT or who makes significant use of MIT funds or facilities must sign the </w:t>
      </w:r>
      <w:r w:rsidR="00367FC2">
        <w:rPr>
          <w:rFonts w:ascii="Times New Roman" w:eastAsia="Times New Roman" w:hAnsi="Times New Roman" w:cs="Times New Roman"/>
          <w:color w:val="252525"/>
          <w:sz w:val="19"/>
          <w:szCs w:val="19"/>
        </w:rPr>
        <w:t>Inventions and Proprietary Information Agreement (IPIA)</w:t>
      </w:r>
      <w:r w:rsidR="0003144B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before a research project begins.</w:t>
      </w:r>
    </w:p>
    <w:p w14:paraId="0732494B" w14:textId="67A7906D" w:rsidR="0003144B" w:rsidRPr="005127FD" w:rsidRDefault="0003144B" w:rsidP="0003144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Any IPIA signed prior to April 10, 2010 must be updated to comply with federal regulations. </w:t>
      </w:r>
    </w:p>
    <w:p w14:paraId="2F327FFD" w14:textId="45110BC1" w:rsidR="0003144B" w:rsidRDefault="0003144B" w:rsidP="0003144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The</w:t>
      </w:r>
      <w:r w:rsidR="00545FD5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  <w:r w:rsidR="005F7582">
        <w:rPr>
          <w:rFonts w:ascii="Times New Roman" w:eastAsia="Times New Roman" w:hAnsi="Times New Roman" w:cs="Times New Roman"/>
          <w:color w:val="252525"/>
          <w:sz w:val="19"/>
          <w:szCs w:val="19"/>
        </w:rPr>
        <w:t>obligations and policies in</w:t>
      </w:r>
      <w:r w:rsidR="00545FD5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the</w:t>
      </w: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IPIA </w:t>
      </w:r>
      <w:r w:rsidR="00545FD5">
        <w:rPr>
          <w:rFonts w:ascii="Times New Roman" w:eastAsia="Times New Roman" w:hAnsi="Times New Roman" w:cs="Times New Roman"/>
          <w:color w:val="252525"/>
          <w:sz w:val="19"/>
          <w:szCs w:val="19"/>
        </w:rPr>
        <w:t>are</w:t>
      </w: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non-negotiable</w:t>
      </w:r>
      <w:r w:rsidR="00D20569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. </w:t>
      </w:r>
      <w:r w:rsidR="00545FD5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TLO can </w:t>
      </w:r>
      <w:r w:rsidR="006E1B89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make </w:t>
      </w:r>
      <w:r w:rsidR="00AA0C47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some </w:t>
      </w:r>
      <w:r w:rsidR="00392483">
        <w:rPr>
          <w:rFonts w:ascii="Times New Roman" w:eastAsia="Times New Roman" w:hAnsi="Times New Roman" w:cs="Times New Roman"/>
          <w:color w:val="252525"/>
          <w:sz w:val="19"/>
          <w:szCs w:val="19"/>
        </w:rPr>
        <w:t>minor edits at request</w:t>
      </w:r>
      <w:r w:rsidR="00545FD5">
        <w:rPr>
          <w:rFonts w:ascii="Times New Roman" w:eastAsia="Times New Roman" w:hAnsi="Times New Roman" w:cs="Times New Roman"/>
          <w:color w:val="252525"/>
          <w:sz w:val="19"/>
          <w:szCs w:val="19"/>
        </w:rPr>
        <w:t>.</w:t>
      </w:r>
    </w:p>
    <w:p w14:paraId="2B7DAD0A" w14:textId="1ADEDD28" w:rsidR="002365A5" w:rsidRPr="00043258" w:rsidRDefault="002365A5" w:rsidP="00043258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</w:pPr>
      <w:r w:rsidRPr="00043258"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  <w:t>Your Role</w:t>
      </w:r>
    </w:p>
    <w:p w14:paraId="40E43C86" w14:textId="7E05B19E" w:rsidR="002365A5" w:rsidRDefault="002365A5" w:rsidP="002365A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>Communicate the IPIA requirement to all appointees and other persons participating in research programs</w:t>
      </w:r>
      <w:r w:rsidR="008E470A">
        <w:rPr>
          <w:rFonts w:ascii="Times New Roman" w:eastAsia="Times New Roman" w:hAnsi="Times New Roman" w:cs="Times New Roman"/>
          <w:color w:val="252525"/>
          <w:sz w:val="19"/>
          <w:szCs w:val="19"/>
        </w:rPr>
        <w:t>.</w:t>
      </w:r>
    </w:p>
    <w:p w14:paraId="72D6F622" w14:textId="4710E321" w:rsidR="002365A5" w:rsidRDefault="002365A5" w:rsidP="002365A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Collect </w:t>
      </w:r>
      <w:r w:rsidR="00063CE1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(and send to the TLO) </w:t>
      </w: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>or confirm that an IPIA is on file for all persons</w:t>
      </w:r>
      <w:r w:rsidR="008E470A">
        <w:rPr>
          <w:rFonts w:ascii="Times New Roman" w:eastAsia="Times New Roman" w:hAnsi="Times New Roman" w:cs="Times New Roman"/>
          <w:color w:val="25252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</w:p>
    <w:p w14:paraId="6DE63ABC" w14:textId="63519BE1" w:rsidR="001E62FF" w:rsidRDefault="001E62FF" w:rsidP="002365A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Direct questions or concerns to the TLO via </w:t>
      </w:r>
      <w:hyperlink r:id="rId8" w:history="1">
        <w:r w:rsidRPr="001F2E38">
          <w:rPr>
            <w:rStyle w:val="Hyperlink"/>
            <w:rFonts w:ascii="Times New Roman" w:eastAsia="Times New Roman" w:hAnsi="Times New Roman" w:cs="Times New Roman"/>
            <w:sz w:val="19"/>
            <w:szCs w:val="19"/>
          </w:rPr>
          <w:t>tlo-ipia@mit.edu</w:t>
        </w:r>
      </w:hyperlink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. </w:t>
      </w:r>
    </w:p>
    <w:p w14:paraId="6596FDF6" w14:textId="77777777" w:rsidR="008619F7" w:rsidRDefault="008619F7" w:rsidP="008619F7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</w:p>
    <w:tbl>
      <w:tblPr>
        <w:tblStyle w:val="TableGrid"/>
        <w:tblW w:w="0" w:type="auto"/>
        <w:tblBorders>
          <w:top w:val="single" w:sz="12" w:space="0" w:color="993333"/>
          <w:left w:val="single" w:sz="12" w:space="0" w:color="993333"/>
          <w:bottom w:val="single" w:sz="12" w:space="0" w:color="993333"/>
          <w:right w:val="single" w:sz="12" w:space="0" w:color="993333"/>
          <w:insideH w:val="single" w:sz="12" w:space="0" w:color="993333"/>
          <w:insideV w:val="single" w:sz="12" w:space="0" w:color="993333"/>
        </w:tblBorders>
        <w:tblLook w:val="04A0" w:firstRow="1" w:lastRow="0" w:firstColumn="1" w:lastColumn="0" w:noHBand="0" w:noVBand="1"/>
      </w:tblPr>
      <w:tblGrid>
        <w:gridCol w:w="9330"/>
      </w:tblGrid>
      <w:tr w:rsidR="009869F2" w:rsidRPr="005127FD" w14:paraId="5AE41421" w14:textId="77777777" w:rsidTr="00172991">
        <w:tc>
          <w:tcPr>
            <w:tcW w:w="9350" w:type="dxa"/>
          </w:tcPr>
          <w:p w14:paraId="5A17B769" w14:textId="1FD09866" w:rsidR="009869F2" w:rsidRPr="005127FD" w:rsidRDefault="009869F2" w:rsidP="001729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252525"/>
                <w:sz w:val="19"/>
                <w:szCs w:val="19"/>
              </w:rPr>
            </w:pPr>
            <w:r w:rsidRPr="00BD3A6A">
              <w:rPr>
                <w:rFonts w:ascii="Times New Roman" w:eastAsia="Times New Roman" w:hAnsi="Times New Roman" w:cs="Times New Roman"/>
                <w:b/>
                <w:color w:val="252525"/>
                <w:sz w:val="19"/>
                <w:szCs w:val="19"/>
              </w:rPr>
              <w:t>Questions?</w:t>
            </w:r>
            <w:r>
              <w:rPr>
                <w:rFonts w:ascii="Times New Roman" w:eastAsia="Times New Roman" w:hAnsi="Times New Roman" w:cs="Times New Roman"/>
                <w:color w:val="252525"/>
                <w:sz w:val="19"/>
                <w:szCs w:val="19"/>
              </w:rPr>
              <w:t xml:space="preserve"> Contact the Technology Licensing Office via </w:t>
            </w:r>
            <w:hyperlink r:id="rId9" w:history="1">
              <w:r w:rsidRPr="00542660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</w:rPr>
                <w:t>tlo-ipia@mit.edu</w:t>
              </w:r>
            </w:hyperlink>
          </w:p>
        </w:tc>
      </w:tr>
    </w:tbl>
    <w:p w14:paraId="6E47656A" w14:textId="77777777" w:rsidR="0003144B" w:rsidRPr="0003144B" w:rsidRDefault="0003144B" w:rsidP="00031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</w:p>
    <w:p w14:paraId="7296FF41" w14:textId="1DE9F300" w:rsidR="007473F0" w:rsidRPr="005127FD" w:rsidRDefault="00877822" w:rsidP="007473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  <w:t>Background</w:t>
      </w:r>
    </w:p>
    <w:p w14:paraId="597E15FA" w14:textId="4E7AEE12" w:rsidR="00190F5C" w:rsidRPr="005127FD" w:rsidRDefault="00190F5C" w:rsidP="00190F5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F</w:t>
      </w:r>
      <w:r w:rsidR="00877822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ederal regulations and </w:t>
      </w:r>
      <w:r w:rsidR="00BB4C3F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contracts</w:t>
      </w:r>
      <w:r w:rsidR="00877822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with research sponsors, external collaborators</w:t>
      </w:r>
      <w:r w:rsidR="00E7244C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,</w:t>
      </w:r>
      <w:r w:rsidR="00877822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and third-party providers of resources used in MIT-administered facilities</w:t>
      </w: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  <w:r w:rsidR="00547BBC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(e.g., data, equipment, or software) </w:t>
      </w:r>
      <w:r w:rsidR="001F6B40">
        <w:rPr>
          <w:rFonts w:ascii="Times New Roman" w:eastAsia="Times New Roman" w:hAnsi="Times New Roman" w:cs="Times New Roman"/>
          <w:color w:val="252525"/>
          <w:sz w:val="19"/>
          <w:szCs w:val="19"/>
        </w:rPr>
        <w:t>require</w:t>
      </w:r>
      <w:r w:rsidR="00877822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MIT to own and control intellectual property</w:t>
      </w: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produced during MIT research projects.</w:t>
      </w:r>
      <w:r w:rsidR="00EE3925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</w:p>
    <w:p w14:paraId="342692C3" w14:textId="674F4D89" w:rsidR="009334D1" w:rsidRPr="005127FD" w:rsidRDefault="00746C33" w:rsidP="009334D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0"/>
          <w:szCs w:val="20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</w:rPr>
        <w:t>The</w:t>
      </w:r>
      <w:r w:rsidR="009334D1" w:rsidRPr="005127FD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IPIA</w:t>
      </w:r>
      <w:r w:rsidR="0062074B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 takes intellectual property developed by an individual inventor and </w:t>
      </w:r>
      <w:r w:rsidR="00C92D07">
        <w:rPr>
          <w:rFonts w:ascii="Times New Roman" w:eastAsia="Times New Roman" w:hAnsi="Times New Roman" w:cs="Times New Roman"/>
          <w:color w:val="252525"/>
          <w:sz w:val="20"/>
          <w:szCs w:val="20"/>
        </w:rPr>
        <w:t>assigns ownership to MIT</w:t>
      </w:r>
      <w:r w:rsidR="0062074B">
        <w:rPr>
          <w:rFonts w:ascii="Times New Roman" w:eastAsia="Times New Roman" w:hAnsi="Times New Roman" w:cs="Times New Roman"/>
          <w:color w:val="252525"/>
          <w:sz w:val="20"/>
          <w:szCs w:val="20"/>
        </w:rPr>
        <w:t xml:space="preserve">, which </w:t>
      </w:r>
      <w:r>
        <w:rPr>
          <w:rFonts w:ascii="Times New Roman" w:eastAsia="Times New Roman" w:hAnsi="Times New Roman" w:cs="Times New Roman"/>
          <w:color w:val="252525"/>
          <w:sz w:val="20"/>
          <w:szCs w:val="20"/>
        </w:rPr>
        <w:t>allows MIT to meet these legal obligations.</w:t>
      </w:r>
    </w:p>
    <w:p w14:paraId="6A6A46B9" w14:textId="06DAAF7C" w:rsidR="002C137D" w:rsidRDefault="007473F0" w:rsidP="007473F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MIT Policy 13.1.4 </w:t>
      </w:r>
      <w:r w:rsidR="00FA3B08">
        <w:rPr>
          <w:rFonts w:ascii="Times New Roman" w:eastAsia="Times New Roman" w:hAnsi="Times New Roman" w:cs="Times New Roman"/>
          <w:color w:val="252525"/>
          <w:sz w:val="19"/>
          <w:szCs w:val="19"/>
        </w:rPr>
        <w:t>(</w:t>
      </w:r>
      <w:r w:rsidR="00190F5C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Invention and Proprietary Information Agreements</w:t>
      </w:r>
      <w:r w:rsidR="00FA3B08">
        <w:rPr>
          <w:rFonts w:ascii="Times New Roman" w:eastAsia="Times New Roman" w:hAnsi="Times New Roman" w:cs="Times New Roman"/>
          <w:color w:val="252525"/>
          <w:sz w:val="19"/>
          <w:szCs w:val="19"/>
        </w:rPr>
        <w:t>)</w:t>
      </w:r>
      <w:r w:rsidR="00834EDD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requires that all persons conducting research at the Institute have an IPIA on file with the TLO</w:t>
      </w:r>
      <w:r w:rsidR="00341293">
        <w:rPr>
          <w:rFonts w:ascii="Times New Roman" w:eastAsia="Times New Roman" w:hAnsi="Times New Roman" w:cs="Times New Roman"/>
          <w:color w:val="252525"/>
          <w:sz w:val="19"/>
          <w:szCs w:val="19"/>
        </w:rPr>
        <w:t>.</w:t>
      </w:r>
    </w:p>
    <w:p w14:paraId="7C238FFB" w14:textId="77777777" w:rsidR="00750F99" w:rsidRDefault="00750F99" w:rsidP="00750F99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</w:pPr>
      <w:r w:rsidRPr="00750F99"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  <w:t>How to Comply</w:t>
      </w:r>
    </w:p>
    <w:p w14:paraId="0554D35A" w14:textId="32B8A2E9" w:rsidR="00106260" w:rsidRDefault="00750F99" w:rsidP="00CE28E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bookmarkStart w:id="0" w:name="_Hlk14265872"/>
      <w:r w:rsidRPr="00530EB9">
        <w:rPr>
          <w:rFonts w:ascii="Times New Roman" w:eastAsia="Times New Roman" w:hAnsi="Times New Roman" w:cs="Times New Roman"/>
          <w:color w:val="252525"/>
          <w:sz w:val="19"/>
          <w:szCs w:val="19"/>
        </w:rPr>
        <w:t>Any person</w:t>
      </w:r>
      <w:r w:rsidR="005A43A5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  <w:r w:rsidRPr="00530EB9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with a valid </w:t>
      </w:r>
      <w:proofErr w:type="spellStart"/>
      <w:r w:rsidR="00B14550">
        <w:rPr>
          <w:rFonts w:ascii="Times New Roman" w:eastAsia="Times New Roman" w:hAnsi="Times New Roman" w:cs="Times New Roman"/>
          <w:color w:val="252525"/>
          <w:sz w:val="19"/>
          <w:szCs w:val="19"/>
        </w:rPr>
        <w:t>Keb</w:t>
      </w:r>
      <w:r w:rsidR="001B6CDB">
        <w:rPr>
          <w:rFonts w:ascii="Times New Roman" w:eastAsia="Times New Roman" w:hAnsi="Times New Roman" w:cs="Times New Roman"/>
          <w:color w:val="252525"/>
          <w:sz w:val="19"/>
          <w:szCs w:val="19"/>
        </w:rPr>
        <w:t>e</w:t>
      </w:r>
      <w:r w:rsidR="00B14550">
        <w:rPr>
          <w:rFonts w:ascii="Times New Roman" w:eastAsia="Times New Roman" w:hAnsi="Times New Roman" w:cs="Times New Roman"/>
          <w:color w:val="252525"/>
          <w:sz w:val="19"/>
          <w:szCs w:val="19"/>
        </w:rPr>
        <w:t>ros</w:t>
      </w:r>
      <w:proofErr w:type="spellEnd"/>
      <w:r w:rsidR="00B14550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ID</w:t>
      </w:r>
      <w:r w:rsidRPr="00530EB9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  <w:r w:rsidR="00B31A55">
        <w:rPr>
          <w:rFonts w:ascii="Times New Roman" w:eastAsia="Times New Roman" w:hAnsi="Times New Roman" w:cs="Times New Roman"/>
          <w:color w:val="252525"/>
          <w:sz w:val="19"/>
          <w:szCs w:val="19"/>
        </w:rPr>
        <w:t>(</w:t>
      </w:r>
      <w:r w:rsidR="00B31A55" w:rsidRPr="00B31A55">
        <w:rPr>
          <w:rFonts w:ascii="Times New Roman" w:eastAsia="Times New Roman" w:hAnsi="Times New Roman" w:cs="Times New Roman"/>
          <w:i/>
          <w:color w:val="252525"/>
          <w:sz w:val="19"/>
          <w:szCs w:val="19"/>
        </w:rPr>
        <w:t>except</w:t>
      </w:r>
      <w:r w:rsidR="00B31A55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see </w:t>
      </w:r>
      <w:r w:rsidR="00976B2C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last </w:t>
      </w:r>
      <w:r w:rsidR="00B31A55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bullet below) </w:t>
      </w:r>
      <w:r w:rsidRPr="00530EB9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may sign the IPIA via </w:t>
      </w:r>
      <w:hyperlink r:id="rId10" w:history="1">
        <w:r w:rsidR="00106260" w:rsidRPr="00106260">
          <w:rPr>
            <w:rStyle w:val="Hyperlink"/>
            <w:rFonts w:ascii="Times New Roman" w:eastAsia="Times New Roman" w:hAnsi="Times New Roman" w:cs="Times New Roman"/>
            <w:sz w:val="19"/>
            <w:szCs w:val="19"/>
          </w:rPr>
          <w:t>Atlas</w:t>
        </w:r>
      </w:hyperlink>
      <w:r w:rsidRPr="00530EB9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</w:p>
    <w:p w14:paraId="349F3144" w14:textId="223CCC4F" w:rsidR="005A43A5" w:rsidRDefault="009E4C7A" w:rsidP="00CE28E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Visitors and Research Affiliates will be prompted to print the IPIA for </w:t>
      </w:r>
      <w:r w:rsidR="003B6237">
        <w:rPr>
          <w:rFonts w:ascii="Times New Roman" w:eastAsia="Times New Roman" w:hAnsi="Times New Roman" w:cs="Times New Roman"/>
          <w:color w:val="25252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employer’s signature.</w:t>
      </w:r>
      <w:r w:rsidR="00CE28E7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</w:p>
    <w:p w14:paraId="1176B769" w14:textId="6049D697" w:rsidR="00106260" w:rsidRDefault="00106260" w:rsidP="00CE28E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>Minors will be prompted to print the IPIA for</w:t>
      </w:r>
      <w:r w:rsidR="00974F82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a </w:t>
      </w:r>
      <w:r w:rsidR="00974F82" w:rsidRPr="00974F82">
        <w:rPr>
          <w:rFonts w:ascii="Times New Roman" w:eastAsia="Times New Roman" w:hAnsi="Times New Roman" w:cs="Times New Roman"/>
          <w:color w:val="252525"/>
          <w:sz w:val="19"/>
          <w:szCs w:val="19"/>
        </w:rPr>
        <w:t>parent o</w:t>
      </w:r>
      <w:r w:rsidR="00974F82">
        <w:rPr>
          <w:rFonts w:ascii="Times New Roman" w:eastAsia="Times New Roman" w:hAnsi="Times New Roman" w:cs="Times New Roman"/>
          <w:color w:val="252525"/>
          <w:sz w:val="19"/>
          <w:szCs w:val="19"/>
        </w:rPr>
        <w:t>r</w:t>
      </w:r>
      <w:r w:rsidR="00974F82" w:rsidRPr="00974F82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legal guardian</w:t>
      </w:r>
      <w:r w:rsidR="00974F82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signature.</w:t>
      </w:r>
    </w:p>
    <w:p w14:paraId="1C15DF4C" w14:textId="7F147CF6" w:rsidR="006E55B7" w:rsidRDefault="006E55B7" w:rsidP="00CE28E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Potential visitors </w:t>
      </w:r>
      <w:r w:rsidRPr="005967F5">
        <w:rPr>
          <w:rFonts w:ascii="Times New Roman" w:eastAsia="Times New Roman" w:hAnsi="Times New Roman" w:cs="Times New Roman"/>
          <w:i/>
          <w:color w:val="252525"/>
          <w:sz w:val="19"/>
          <w:szCs w:val="19"/>
        </w:rPr>
        <w:t>without</w:t>
      </w: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a valid Kerberos ID can sign a hard copy form. </w:t>
      </w:r>
    </w:p>
    <w:p w14:paraId="4F3E6EA8" w14:textId="77777777" w:rsidR="00976B2C" w:rsidRPr="006A00D3" w:rsidRDefault="00976B2C" w:rsidP="00976B2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6A00D3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Hard copy forms are available via </w:t>
      </w:r>
      <w:hyperlink r:id="rId11" w:history="1">
        <w:r w:rsidRPr="006A00D3">
          <w:rPr>
            <w:rStyle w:val="Hyperlink"/>
            <w:rFonts w:ascii="Times New Roman" w:eastAsia="Times New Roman" w:hAnsi="Times New Roman" w:cs="Times New Roman"/>
            <w:sz w:val="19"/>
            <w:szCs w:val="19"/>
          </w:rPr>
          <w:t>tlo-ipia@mit.edu</w:t>
        </w:r>
      </w:hyperlink>
      <w:r w:rsidRPr="006A00D3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or the TLO website (</w:t>
      </w:r>
      <w:hyperlink r:id="rId12" w:history="1">
        <w:r w:rsidRPr="006A00D3">
          <w:rPr>
            <w:rStyle w:val="Hyperlink"/>
            <w:rFonts w:ascii="Times New Roman" w:hAnsi="Times New Roman" w:cs="Times New Roman"/>
            <w:sz w:val="20"/>
            <w:szCs w:val="20"/>
          </w:rPr>
          <w:t>http://bit.ly/IPIA_Forms</w:t>
        </w:r>
      </w:hyperlink>
      <w:r w:rsidRPr="006A00D3">
        <w:t>)</w:t>
      </w:r>
      <w:r w:rsidRPr="006A00D3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</w:p>
    <w:p w14:paraId="46332CB9" w14:textId="23DE48CE" w:rsidR="00750F99" w:rsidRDefault="006A05E3" w:rsidP="00CE28E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6A05E3">
        <w:rPr>
          <w:rFonts w:ascii="Times New Roman" w:eastAsia="Times New Roman" w:hAnsi="Times New Roman" w:cs="Times New Roman"/>
          <w:i/>
          <w:color w:val="252525"/>
          <w:sz w:val="19"/>
          <w:szCs w:val="19"/>
        </w:rPr>
        <w:t xml:space="preserve">Exception </w:t>
      </w: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>– p</w:t>
      </w:r>
      <w:r w:rsidR="00CE28E7" w:rsidRPr="00341293">
        <w:rPr>
          <w:rFonts w:ascii="Times New Roman" w:eastAsia="Times New Roman" w:hAnsi="Times New Roman" w:cs="Times New Roman"/>
          <w:color w:val="252525"/>
          <w:sz w:val="19"/>
          <w:szCs w:val="19"/>
        </w:rPr>
        <w:t>ersons</w:t>
      </w:r>
      <w:r w:rsidR="00530EB9" w:rsidRPr="00341293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moving to </w:t>
      </w:r>
      <w:r w:rsidR="00341293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a </w:t>
      </w:r>
      <w:r w:rsidR="00530EB9" w:rsidRPr="00341293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visiting </w:t>
      </w:r>
      <w:r w:rsidR="00341293">
        <w:rPr>
          <w:rFonts w:ascii="Times New Roman" w:eastAsia="Times New Roman" w:hAnsi="Times New Roman" w:cs="Times New Roman"/>
          <w:color w:val="252525"/>
          <w:sz w:val="19"/>
          <w:szCs w:val="19"/>
        </w:rPr>
        <w:t>position</w:t>
      </w:r>
      <w:r w:rsidR="00530EB9" w:rsidRPr="00341293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  <w:r w:rsidR="008566F8" w:rsidRPr="00341293">
        <w:rPr>
          <w:rFonts w:ascii="Times New Roman" w:eastAsia="Times New Roman" w:hAnsi="Times New Roman" w:cs="Times New Roman"/>
          <w:color w:val="252525"/>
          <w:sz w:val="19"/>
          <w:szCs w:val="19"/>
        </w:rPr>
        <w:t>(e.g., from student to Research Affiliate)</w:t>
      </w:r>
      <w:r w:rsidR="00952D8F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or another new appointment</w:t>
      </w:r>
      <w:r w:rsidR="008566F8" w:rsidRPr="00341293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  <w:r w:rsidR="00530EB9" w:rsidRPr="00341293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must sign a hard copy </w:t>
      </w:r>
      <w:r w:rsidR="00341293">
        <w:rPr>
          <w:rFonts w:ascii="Times New Roman" w:eastAsia="Times New Roman" w:hAnsi="Times New Roman" w:cs="Times New Roman"/>
          <w:color w:val="252525"/>
          <w:sz w:val="19"/>
          <w:szCs w:val="19"/>
        </w:rPr>
        <w:t>IPIA (not via Atlas).</w:t>
      </w:r>
      <w:r w:rsidR="00530EB9" w:rsidRPr="00341293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  <w:r w:rsidR="00276B22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If TLO already has an IPIA on file, </w:t>
      </w:r>
      <w:r w:rsidR="00FC041B" w:rsidRPr="00341293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Atlas </w:t>
      </w:r>
      <w:r w:rsidR="00341293">
        <w:rPr>
          <w:rFonts w:ascii="Times New Roman" w:eastAsia="Times New Roman" w:hAnsi="Times New Roman" w:cs="Times New Roman"/>
          <w:color w:val="252525"/>
          <w:sz w:val="19"/>
          <w:szCs w:val="19"/>
        </w:rPr>
        <w:t>won’t allow</w:t>
      </w:r>
      <w:r w:rsidR="00276B22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users to sign a new version</w:t>
      </w:r>
      <w:r w:rsidR="00D33344">
        <w:rPr>
          <w:rFonts w:ascii="Times New Roman" w:eastAsia="Times New Roman" w:hAnsi="Times New Roman" w:cs="Times New Roman"/>
          <w:color w:val="252525"/>
          <w:sz w:val="19"/>
          <w:szCs w:val="19"/>
        </w:rPr>
        <w:t>.</w:t>
      </w:r>
      <w:r w:rsidR="00C40F41" w:rsidRPr="00341293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</w:p>
    <w:bookmarkEnd w:id="0"/>
    <w:p w14:paraId="4C5D3A82" w14:textId="2F9A5CCD" w:rsidR="00982DB4" w:rsidRPr="005127FD" w:rsidRDefault="00982DB4" w:rsidP="007473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</w:pPr>
    </w:p>
    <w:p w14:paraId="7FA0330F" w14:textId="1911B785" w:rsidR="00D275D7" w:rsidRPr="005127FD" w:rsidRDefault="00D275D7" w:rsidP="007473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  <w:t>Role of the Technology Licensing Office</w:t>
      </w:r>
    </w:p>
    <w:p w14:paraId="3689AA84" w14:textId="5BBE3BBC" w:rsidR="00350178" w:rsidRDefault="00350178" w:rsidP="00F1049B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The TLO </w:t>
      </w:r>
      <w:r w:rsidR="00330273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(</w:t>
      </w:r>
      <w:hyperlink r:id="rId13" w:history="1">
        <w:r w:rsidR="00330273" w:rsidRPr="005127FD">
          <w:rPr>
            <w:rStyle w:val="Hyperlink"/>
            <w:rFonts w:ascii="Times New Roman" w:eastAsia="Times New Roman" w:hAnsi="Times New Roman" w:cs="Times New Roman"/>
            <w:sz w:val="19"/>
            <w:szCs w:val="19"/>
          </w:rPr>
          <w:t>tlo-ipia@mit.edu</w:t>
        </w:r>
      </w:hyperlink>
      <w:r w:rsidR="00330273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) </w:t>
      </w:r>
      <w:r w:rsidR="00820646">
        <w:rPr>
          <w:rFonts w:ascii="Times New Roman" w:eastAsia="Times New Roman" w:hAnsi="Times New Roman" w:cs="Times New Roman"/>
          <w:color w:val="252525"/>
          <w:sz w:val="19"/>
          <w:szCs w:val="19"/>
        </w:rPr>
        <w:t>can</w:t>
      </w: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answer any questions relating to the IPIA, </w:t>
      </w: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intellectual property, or MIT Policy, </w:t>
      </w: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whether from faculty, researchers, visitors, or other institutions</w:t>
      </w:r>
      <w:r w:rsidR="00330273">
        <w:rPr>
          <w:rFonts w:ascii="Times New Roman" w:eastAsia="Times New Roman" w:hAnsi="Times New Roman" w:cs="Times New Roman"/>
          <w:color w:val="252525"/>
          <w:sz w:val="19"/>
          <w:szCs w:val="19"/>
        </w:rPr>
        <w:t>.</w:t>
      </w:r>
      <w:r w:rsidR="00F1049B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</w:p>
    <w:p w14:paraId="2BEB37AD" w14:textId="09D19E93" w:rsidR="00330273" w:rsidRPr="005127FD" w:rsidRDefault="005C2D3E" w:rsidP="0035017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The </w:t>
      </w:r>
      <w:r w:rsidR="00330273">
        <w:rPr>
          <w:rFonts w:ascii="Times New Roman" w:eastAsia="Times New Roman" w:hAnsi="Times New Roman" w:cs="Times New Roman"/>
          <w:color w:val="252525"/>
          <w:sz w:val="19"/>
          <w:szCs w:val="19"/>
        </w:rPr>
        <w:t>TLO can engage other institutions directly to answer questions or respond to edits.</w:t>
      </w:r>
    </w:p>
    <w:p w14:paraId="58A53109" w14:textId="7C7A9222" w:rsidR="00D426A6" w:rsidRPr="005127FD" w:rsidRDefault="00035616" w:rsidP="00D426A6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  <w:t>Resources</w:t>
      </w:r>
      <w:r w:rsidR="00777B46"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  <w:t xml:space="preserve"> for Faculty, Staff, and Students</w:t>
      </w:r>
    </w:p>
    <w:p w14:paraId="2BA64228" w14:textId="0CA366BD" w:rsidR="00FC74F4" w:rsidRPr="005127FD" w:rsidRDefault="00FC74F4" w:rsidP="00FC74F4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The TLO maintains </w:t>
      </w:r>
      <w:hyperlink r:id="rId14" w:history="1">
        <w:r w:rsidRPr="00D73E7E">
          <w:rPr>
            <w:rStyle w:val="Hyperlink"/>
            <w:rFonts w:ascii="Times New Roman" w:eastAsia="Times New Roman" w:hAnsi="Times New Roman" w:cs="Times New Roman"/>
            <w:sz w:val="19"/>
            <w:szCs w:val="19"/>
          </w:rPr>
          <w:t>web content specific to the IPIA</w:t>
        </w:r>
      </w:hyperlink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  <w:r w:rsidR="00D73E7E">
        <w:rPr>
          <w:rFonts w:ascii="Times New Roman" w:eastAsia="Times New Roman" w:hAnsi="Times New Roman" w:cs="Times New Roman"/>
          <w:color w:val="252525"/>
          <w:sz w:val="19"/>
          <w:szCs w:val="19"/>
        </w:rPr>
        <w:t>(</w:t>
      </w:r>
      <w:hyperlink r:id="rId15" w:history="1">
        <w:r w:rsidR="00E87314" w:rsidRPr="00EE20C6">
          <w:rPr>
            <w:rStyle w:val="Hyperlink"/>
            <w:rFonts w:ascii="Times New Roman" w:hAnsi="Times New Roman" w:cs="Times New Roman"/>
            <w:sz w:val="20"/>
          </w:rPr>
          <w:t>http://bit.ly/IPIA_page</w:t>
        </w:r>
      </w:hyperlink>
      <w:r w:rsidR="00E87314">
        <w:rPr>
          <w:rFonts w:ascii="Times New Roman" w:hAnsi="Times New Roman" w:cs="Times New Roman"/>
          <w:sz w:val="20"/>
        </w:rPr>
        <w:t>)</w:t>
      </w: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  </w:t>
      </w:r>
    </w:p>
    <w:p w14:paraId="2444B706" w14:textId="3159BFA2" w:rsidR="00FC74F4" w:rsidRPr="005127FD" w:rsidRDefault="00FC74F4" w:rsidP="00FC74F4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MIT’s Ownership of Intellectual Property Policy </w:t>
      </w:r>
      <w:r w:rsidR="0002211B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is </w:t>
      </w:r>
      <w:r w:rsidR="00EA2A8F">
        <w:rPr>
          <w:rFonts w:ascii="Times New Roman" w:eastAsia="Times New Roman" w:hAnsi="Times New Roman" w:cs="Times New Roman"/>
          <w:color w:val="252525"/>
          <w:sz w:val="19"/>
          <w:szCs w:val="19"/>
        </w:rPr>
        <w:t>posted in</w:t>
      </w:r>
      <w:r w:rsidR="008057D2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  <w:hyperlink r:id="rId16" w:anchor="13.1.1" w:history="1">
        <w:r w:rsidR="008057D2" w:rsidRPr="008057D2">
          <w:rPr>
            <w:rStyle w:val="Hyperlink"/>
            <w:rFonts w:ascii="Times New Roman" w:eastAsia="Times New Roman" w:hAnsi="Times New Roman" w:cs="Times New Roman"/>
            <w:sz w:val="19"/>
            <w:szCs w:val="19"/>
          </w:rPr>
          <w:t>Article 13 of MIT’s Policies &amp; Procedures</w:t>
        </w:r>
      </w:hyperlink>
      <w:r w:rsidR="008057D2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(</w:t>
      </w:r>
      <w:hyperlink r:id="rId17" w:history="1">
        <w:r w:rsidR="005F6771" w:rsidRPr="00EE20C6">
          <w:rPr>
            <w:rStyle w:val="Hyperlink"/>
            <w:rFonts w:ascii="Times New Roman" w:hAnsi="Times New Roman" w:cs="Times New Roman"/>
            <w:sz w:val="20"/>
            <w:szCs w:val="20"/>
          </w:rPr>
          <w:t>http://bit.ly/Policy_Ownership</w:t>
        </w:r>
      </w:hyperlink>
      <w:r w:rsidR="008057D2" w:rsidRPr="008057D2">
        <w:rPr>
          <w:rStyle w:val="Hyperlink"/>
          <w:rFonts w:ascii="Times New Roman" w:eastAsia="Times New Roman" w:hAnsi="Times New Roman" w:cs="Times New Roman"/>
          <w:color w:val="auto"/>
          <w:sz w:val="19"/>
          <w:szCs w:val="19"/>
          <w:u w:val="none"/>
        </w:rPr>
        <w:t>)</w:t>
      </w:r>
    </w:p>
    <w:p w14:paraId="7B2E2762" w14:textId="3DF8A14B" w:rsidR="00FC74F4" w:rsidRPr="005127FD" w:rsidRDefault="00FC74F4" w:rsidP="00FC74F4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The complete </w:t>
      </w:r>
      <w:r w:rsidR="00CA6F62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intellectual property </w:t>
      </w: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policy statement is set forth in the </w:t>
      </w:r>
      <w:r w:rsidRPr="00D41A4A">
        <w:rPr>
          <w:rFonts w:ascii="Times New Roman" w:eastAsia="Times New Roman" w:hAnsi="Times New Roman" w:cs="Times New Roman"/>
          <w:i/>
          <w:color w:val="252525"/>
          <w:sz w:val="19"/>
          <w:szCs w:val="19"/>
        </w:rPr>
        <w:t>Guide to the Ownership, Distribution, and Commercial Development of MIT Technology</w:t>
      </w: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(the “</w:t>
      </w:r>
      <w:hyperlink r:id="rId18" w:history="1">
        <w:r w:rsidRPr="00B93453">
          <w:rPr>
            <w:rStyle w:val="Hyperlink"/>
            <w:rFonts w:ascii="Times New Roman" w:eastAsia="Times New Roman" w:hAnsi="Times New Roman" w:cs="Times New Roman"/>
            <w:sz w:val="19"/>
            <w:szCs w:val="19"/>
          </w:rPr>
          <w:t>Technology Policy Guide</w:t>
        </w:r>
      </w:hyperlink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”) which is available via the TLO or </w:t>
      </w:r>
      <w:hyperlink r:id="rId19" w:history="1">
        <w:r w:rsidR="00893059" w:rsidRPr="00177FD1">
          <w:rPr>
            <w:rStyle w:val="Hyperlink"/>
            <w:rFonts w:ascii="Times New Roman" w:hAnsi="Times New Roman" w:cs="Times New Roman"/>
            <w:sz w:val="20"/>
            <w:szCs w:val="20"/>
          </w:rPr>
          <w:t>http://bit.ly/Policy_Guide</w:t>
        </w:r>
      </w:hyperlink>
      <w:r w:rsidRPr="00177FD1">
        <w:rPr>
          <w:rFonts w:ascii="Times New Roman" w:eastAsia="Times New Roman" w:hAnsi="Times New Roman" w:cs="Times New Roman"/>
          <w:color w:val="252525"/>
          <w:sz w:val="20"/>
          <w:szCs w:val="20"/>
        </w:rPr>
        <w:t>.</w:t>
      </w: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</w:p>
    <w:p w14:paraId="2D896DCC" w14:textId="59F0B503" w:rsidR="00BA49CA" w:rsidRPr="008523F0" w:rsidRDefault="00C570DE" w:rsidP="007473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</w:pPr>
      <w:r w:rsidRPr="008523F0"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  <w:t>See notes below regarding</w:t>
      </w:r>
      <w:r w:rsidR="00945B4E" w:rsidRPr="008523F0"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  <w:t>:</w:t>
      </w:r>
    </w:p>
    <w:p w14:paraId="56A998A1" w14:textId="46EAA18F" w:rsidR="00BD3A6A" w:rsidRPr="00BD3A6A" w:rsidRDefault="00945B4E" w:rsidP="00BD3A6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Exempt persons</w:t>
      </w:r>
      <w:r w:rsidR="00BD3A6A">
        <w:rPr>
          <w:rFonts w:ascii="Times New Roman" w:eastAsia="Times New Roman" w:hAnsi="Times New Roman" w:cs="Times New Roman"/>
          <w:color w:val="252525"/>
          <w:sz w:val="19"/>
          <w:szCs w:val="19"/>
        </w:rPr>
        <w:t>;</w:t>
      </w:r>
    </w:p>
    <w:p w14:paraId="0E993770" w14:textId="77777777" w:rsidR="0000728B" w:rsidRPr="005127FD" w:rsidRDefault="0000728B" w:rsidP="0000728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Marie Curie Fellows;</w:t>
      </w:r>
    </w:p>
    <w:p w14:paraId="26F0719F" w14:textId="77777777" w:rsidR="0000728B" w:rsidRPr="005127FD" w:rsidRDefault="0000728B" w:rsidP="0000728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Minors;</w:t>
      </w:r>
    </w:p>
    <w:p w14:paraId="12BE5300" w14:textId="030CDD0A" w:rsidR="0000728B" w:rsidRDefault="0000728B" w:rsidP="0000728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Sponsored research appointments;</w:t>
      </w:r>
    </w:p>
    <w:p w14:paraId="467EA1AA" w14:textId="6C78E7EA" w:rsidR="0000728B" w:rsidRDefault="0000728B" w:rsidP="0000728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Temporary employees</w:t>
      </w: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>;</w:t>
      </w:r>
    </w:p>
    <w:p w14:paraId="61130EFC" w14:textId="4DA06D51" w:rsidR="00945B4E" w:rsidRDefault="00945B4E" w:rsidP="0000728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Visiting and Research Affiliate appointments</w:t>
      </w:r>
      <w:r w:rsidR="002613ED">
        <w:rPr>
          <w:rFonts w:ascii="Times New Roman" w:eastAsia="Times New Roman" w:hAnsi="Times New Roman" w:cs="Times New Roman"/>
          <w:color w:val="252525"/>
          <w:sz w:val="19"/>
          <w:szCs w:val="19"/>
        </w:rPr>
        <w:t>;</w:t>
      </w:r>
    </w:p>
    <w:p w14:paraId="1FE3DB4A" w14:textId="49A38D20" w:rsidR="000D6DD9" w:rsidRDefault="002613ED" w:rsidP="000D6DD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>Visiting Students.</w:t>
      </w:r>
    </w:p>
    <w:p w14:paraId="2895CC4B" w14:textId="0F97AEA2" w:rsidR="00CB11ED" w:rsidRPr="005127FD" w:rsidRDefault="00CB11ED" w:rsidP="00CB11ED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  <w:lastRenderedPageBreak/>
        <w:t>Exemptions</w:t>
      </w:r>
    </w:p>
    <w:p w14:paraId="15CB3376" w14:textId="120FB901" w:rsidR="00CB11ED" w:rsidRPr="0070614D" w:rsidRDefault="00D65C1D" w:rsidP="0070614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The </w:t>
      </w:r>
      <w:r w:rsidR="00CB11ED" w:rsidRPr="0070614D">
        <w:rPr>
          <w:rFonts w:ascii="Times New Roman" w:eastAsia="Times New Roman" w:hAnsi="Times New Roman" w:cs="Times New Roman"/>
          <w:color w:val="252525"/>
          <w:sz w:val="19"/>
          <w:szCs w:val="19"/>
        </w:rPr>
        <w:t>TLO can issue a</w:t>
      </w:r>
      <w:r w:rsidR="00A118E9" w:rsidRPr="0070614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n exemption </w:t>
      </w:r>
      <w:r w:rsidR="00CB11ED" w:rsidRPr="0070614D">
        <w:rPr>
          <w:rFonts w:ascii="Times New Roman" w:eastAsia="Times New Roman" w:hAnsi="Times New Roman" w:cs="Times New Roman"/>
          <w:color w:val="252525"/>
          <w:sz w:val="19"/>
          <w:szCs w:val="19"/>
        </w:rPr>
        <w:t>for the following persons</w:t>
      </w:r>
      <w:r w:rsidR="005A6F2E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(no IPIA required)</w:t>
      </w:r>
      <w:r w:rsidR="00CB11ED" w:rsidRPr="0070614D">
        <w:rPr>
          <w:rFonts w:ascii="Times New Roman" w:eastAsia="Times New Roman" w:hAnsi="Times New Roman" w:cs="Times New Roman"/>
          <w:color w:val="252525"/>
          <w:sz w:val="19"/>
          <w:szCs w:val="19"/>
        </w:rPr>
        <w:t>:</w:t>
      </w:r>
    </w:p>
    <w:p w14:paraId="3BD411AA" w14:textId="6F1BEE16" w:rsidR="00D839E3" w:rsidRDefault="00D839E3" w:rsidP="008B0120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6A </w:t>
      </w:r>
      <w:r w:rsidR="005A20AE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Master of Engineering </w:t>
      </w: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>students</w:t>
      </w:r>
      <w:r w:rsidR="006D2D3B">
        <w:rPr>
          <w:rFonts w:ascii="Times New Roman" w:eastAsia="Times New Roman" w:hAnsi="Times New Roman" w:cs="Times New Roman"/>
          <w:color w:val="252525"/>
          <w:sz w:val="19"/>
          <w:szCs w:val="19"/>
        </w:rPr>
        <w:t>;</w:t>
      </w:r>
    </w:p>
    <w:p w14:paraId="75FF9687" w14:textId="77777777" w:rsidR="006D2D3B" w:rsidRDefault="006D2D3B" w:rsidP="008B0120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6D2D3B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System Design and Management Program certificate students; </w:t>
      </w:r>
    </w:p>
    <w:p w14:paraId="2F820405" w14:textId="3F99452D" w:rsidR="00CB11ED" w:rsidRPr="005127FD" w:rsidRDefault="00CB11ED" w:rsidP="008B0120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Government employees</w:t>
      </w:r>
      <w:r w:rsidR="009B6CEB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(except Draper Fellows)</w:t>
      </w:r>
      <w:r w:rsidR="00081C07">
        <w:rPr>
          <w:rFonts w:ascii="Times New Roman" w:eastAsia="Times New Roman" w:hAnsi="Times New Roman" w:cs="Times New Roman"/>
          <w:color w:val="252525"/>
          <w:sz w:val="19"/>
          <w:szCs w:val="19"/>
        </w:rPr>
        <w:t>;</w:t>
      </w:r>
      <w:r w:rsidR="00E17B1F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</w:p>
    <w:p w14:paraId="7267C1DF" w14:textId="5ACAED50" w:rsidR="00D839E3" w:rsidRDefault="00D839E3" w:rsidP="00D839E3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Harvard visitors </w:t>
      </w:r>
      <w:r w:rsidRPr="005127FD">
        <w:rPr>
          <w:rFonts w:ascii="Times New Roman" w:eastAsia="Times New Roman" w:hAnsi="Times New Roman" w:cs="Times New Roman"/>
          <w:i/>
          <w:color w:val="252525"/>
          <w:sz w:val="19"/>
          <w:szCs w:val="19"/>
        </w:rPr>
        <w:t>who have signed the Harvard Participation Agreement</w:t>
      </w: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(</w:t>
      </w:r>
      <w:r w:rsidR="00764236">
        <w:rPr>
          <w:rFonts w:ascii="Times New Roman" w:eastAsia="Times New Roman" w:hAnsi="Times New Roman" w:cs="Times New Roman"/>
          <w:color w:val="25252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lease just confirm with the individual that they’ve signed the agreement </w:t>
      </w:r>
      <w:r w:rsidR="00DF5AE7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>ask the TLO to confirm with Harvard);</w:t>
      </w:r>
    </w:p>
    <w:p w14:paraId="0717522D" w14:textId="0DCB7579" w:rsidR="00F52F85" w:rsidRPr="005127FD" w:rsidRDefault="00F52F85" w:rsidP="00D839E3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>H</w:t>
      </w:r>
      <w:r w:rsidR="005A20AE">
        <w:rPr>
          <w:rFonts w:ascii="Times New Roman" w:eastAsia="Times New Roman" w:hAnsi="Times New Roman" w:cs="Times New Roman"/>
          <w:color w:val="252525"/>
          <w:sz w:val="19"/>
          <w:szCs w:val="19"/>
        </w:rPr>
        <w:t>arvard-MIT Health Sciences and Technology Students (H</w:t>
      </w: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>ST</w:t>
      </w:r>
      <w:r w:rsidR="005A20AE">
        <w:rPr>
          <w:rFonts w:ascii="Times New Roman" w:eastAsia="Times New Roman" w:hAnsi="Times New Roman" w:cs="Times New Roman"/>
          <w:color w:val="252525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students </w:t>
      </w:r>
      <w:r w:rsidR="003543E0" w:rsidRPr="003543E0">
        <w:rPr>
          <w:rFonts w:ascii="Times New Roman" w:eastAsia="Times New Roman" w:hAnsi="Times New Roman" w:cs="Times New Roman"/>
          <w:color w:val="252525"/>
          <w:sz w:val="19"/>
          <w:szCs w:val="19"/>
        </w:rPr>
        <w:t>earning a Harvard degree, not performing research on MIT campus, and not receiving graduate funding processed at MIT;</w:t>
      </w:r>
    </w:p>
    <w:p w14:paraId="088442C3" w14:textId="77777777" w:rsidR="00D839E3" w:rsidRPr="005127FD" w:rsidRDefault="00D839E3" w:rsidP="00D839E3">
      <w:pPr>
        <w:pStyle w:val="ListParagraph"/>
        <w:numPr>
          <w:ilvl w:val="0"/>
          <w:numId w:val="5"/>
        </w:numPr>
        <w:spacing w:after="0" w:line="240" w:lineRule="auto"/>
        <w:ind w:firstLine="360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HHMI employees; </w:t>
      </w:r>
    </w:p>
    <w:p w14:paraId="29E0F89A" w14:textId="77777777" w:rsidR="00CB11ED" w:rsidRPr="005127FD" w:rsidRDefault="00CB11ED" w:rsidP="00CB11ED">
      <w:pPr>
        <w:pStyle w:val="ListParagraph"/>
        <w:numPr>
          <w:ilvl w:val="0"/>
          <w:numId w:val="5"/>
        </w:numPr>
        <w:spacing w:after="0" w:line="240" w:lineRule="auto"/>
        <w:ind w:firstLine="360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Knight Fellows; </w:t>
      </w:r>
    </w:p>
    <w:p w14:paraId="36ADFC0B" w14:textId="5D0A80F0" w:rsidR="00CB11ED" w:rsidRPr="005127FD" w:rsidRDefault="00CB11ED" w:rsidP="00CB11ED">
      <w:pPr>
        <w:pStyle w:val="ListParagraph"/>
        <w:numPr>
          <w:ilvl w:val="0"/>
          <w:numId w:val="5"/>
        </w:numPr>
        <w:spacing w:after="0" w:line="240" w:lineRule="auto"/>
        <w:ind w:firstLine="360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MIT-WHOI Joint Program students; </w:t>
      </w:r>
      <w:r w:rsidR="00D839E3">
        <w:rPr>
          <w:rFonts w:ascii="Times New Roman" w:eastAsia="Times New Roman" w:hAnsi="Times New Roman" w:cs="Times New Roman"/>
          <w:color w:val="252525"/>
          <w:sz w:val="19"/>
          <w:szCs w:val="19"/>
        </w:rPr>
        <w:t>and</w:t>
      </w:r>
    </w:p>
    <w:p w14:paraId="4BAB1281" w14:textId="09C1DD61" w:rsidR="00CB11ED" w:rsidRPr="005127FD" w:rsidRDefault="00CB11ED" w:rsidP="00CB11ED">
      <w:pPr>
        <w:pStyle w:val="ListParagraph"/>
        <w:numPr>
          <w:ilvl w:val="0"/>
          <w:numId w:val="5"/>
        </w:numPr>
        <w:spacing w:after="0" w:line="240" w:lineRule="auto"/>
        <w:ind w:firstLine="360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Whitehead appointees</w:t>
      </w:r>
      <w:r w:rsidR="00D839E3">
        <w:rPr>
          <w:rFonts w:ascii="Times New Roman" w:eastAsia="Times New Roman" w:hAnsi="Times New Roman" w:cs="Times New Roman"/>
          <w:color w:val="252525"/>
          <w:sz w:val="19"/>
          <w:szCs w:val="19"/>
        </w:rPr>
        <w:t>.</w:t>
      </w:r>
    </w:p>
    <w:p w14:paraId="70F52893" w14:textId="2A7D602E" w:rsidR="00CB11ED" w:rsidRPr="0070614D" w:rsidRDefault="00D65C1D" w:rsidP="0070614D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</w:pP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The </w:t>
      </w:r>
      <w:r w:rsidR="00CB11ED" w:rsidRPr="0070614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TLO must receive the name and </w:t>
      </w:r>
      <w:r w:rsidR="00395108">
        <w:rPr>
          <w:rFonts w:ascii="Times New Roman" w:eastAsia="Times New Roman" w:hAnsi="Times New Roman" w:cs="Times New Roman"/>
          <w:color w:val="252525"/>
          <w:sz w:val="19"/>
          <w:szCs w:val="19"/>
        </w:rPr>
        <w:t>month/day of birth</w:t>
      </w:r>
      <w:r w:rsidR="00CB11ED" w:rsidRPr="0070614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of the person with the reason for exemption to issue a waiver</w:t>
      </w:r>
      <w:r w:rsidR="00A83D5E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– please email </w:t>
      </w:r>
      <w:hyperlink r:id="rId20" w:history="1">
        <w:r w:rsidR="00A83D5E" w:rsidRPr="00D23A78">
          <w:rPr>
            <w:rStyle w:val="Hyperlink"/>
            <w:rFonts w:ascii="Times New Roman" w:eastAsia="Times New Roman" w:hAnsi="Times New Roman" w:cs="Times New Roman"/>
            <w:sz w:val="19"/>
            <w:szCs w:val="19"/>
          </w:rPr>
          <w:t>tlo-ipia@mit.edu</w:t>
        </w:r>
      </w:hyperlink>
      <w:r w:rsidR="00A83D5E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  <w:r w:rsidR="00A83D5E" w:rsidRPr="00A83D5E">
        <w:rPr>
          <w:rFonts w:ascii="Times New Roman" w:eastAsia="Times New Roman" w:hAnsi="Times New Roman" w:cs="Times New Roman"/>
          <w:color w:val="252525"/>
          <w:sz w:val="19"/>
          <w:szCs w:val="19"/>
        </w:rPr>
        <w:t>with t</w:t>
      </w:r>
      <w:r w:rsidR="00A83D5E">
        <w:rPr>
          <w:rFonts w:ascii="Times New Roman" w:eastAsia="Times New Roman" w:hAnsi="Times New Roman" w:cs="Times New Roman"/>
          <w:color w:val="252525"/>
          <w:sz w:val="19"/>
          <w:szCs w:val="19"/>
        </w:rPr>
        <w:t>hose details.</w:t>
      </w:r>
      <w:r w:rsidR="00A83D5E" w:rsidRPr="00A83D5E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 </w:t>
      </w:r>
    </w:p>
    <w:p w14:paraId="287CA279" w14:textId="77777777" w:rsidR="004B2F82" w:rsidRPr="005127FD" w:rsidRDefault="004B2F82" w:rsidP="004B2F82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  <w:t>Marie Curie Fellows Exception</w:t>
      </w:r>
    </w:p>
    <w:p w14:paraId="19D9AE0F" w14:textId="24988C0A" w:rsidR="00A74407" w:rsidRPr="00A74407" w:rsidRDefault="004B2F82" w:rsidP="00A74407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Marie Curie fellows sign a unique IPIA that has been negotiated with European Commission.</w:t>
      </w:r>
      <w:r w:rsidR="00A74407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  <w:r w:rsidR="008B666E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Find it on the </w:t>
      </w:r>
      <w:bookmarkStart w:id="1" w:name="_GoBack"/>
      <w:bookmarkEnd w:id="1"/>
    </w:p>
    <w:p w14:paraId="397D0C48" w14:textId="77777777" w:rsidR="004B2F82" w:rsidRPr="005127FD" w:rsidRDefault="004B2F82" w:rsidP="004B2F82">
      <w:pPr>
        <w:spacing w:before="160" w:after="0" w:line="240" w:lineRule="auto"/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  <w:t>Minors</w:t>
      </w:r>
    </w:p>
    <w:p w14:paraId="649ABB07" w14:textId="17EADC50" w:rsidR="00E46DB1" w:rsidRPr="00C812F8" w:rsidRDefault="00D839E3" w:rsidP="00C812F8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</w:pP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>Staff or students</w:t>
      </w:r>
      <w:r w:rsidR="004B2F82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who are under 18 sign a Minor IPIA form which must be signed by </w:t>
      </w: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>a</w:t>
      </w:r>
      <w:r w:rsidR="004B2F82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>parent o</w:t>
      </w:r>
      <w:r w:rsidR="00974F82">
        <w:rPr>
          <w:rFonts w:ascii="Times New Roman" w:eastAsia="Times New Roman" w:hAnsi="Times New Roman" w:cs="Times New Roman"/>
          <w:color w:val="25252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  <w:r w:rsidR="004B2F82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legal guardian.</w:t>
      </w:r>
      <w:r w:rsidR="004B2F82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</w:p>
    <w:p w14:paraId="3DEF1684" w14:textId="738B6874" w:rsidR="00E875A4" w:rsidRPr="00F95FD8" w:rsidRDefault="00E875A4" w:rsidP="002665EC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i/>
          <w:color w:val="252525"/>
          <w:sz w:val="19"/>
          <w:szCs w:val="19"/>
        </w:rPr>
      </w:pPr>
      <w:r w:rsidRPr="00F95FD8">
        <w:rPr>
          <w:rFonts w:ascii="Times New Roman" w:eastAsia="Times New Roman" w:hAnsi="Times New Roman" w:cs="Times New Roman"/>
          <w:i/>
          <w:color w:val="252525"/>
          <w:sz w:val="19"/>
          <w:szCs w:val="19"/>
        </w:rPr>
        <w:t>The “Minor IPIA” is no longer valid after the minor has turned 18.</w:t>
      </w:r>
    </w:p>
    <w:p w14:paraId="05EB7B1E" w14:textId="77777777" w:rsidR="00C570DE" w:rsidRPr="005127FD" w:rsidRDefault="008A5875" w:rsidP="002623B4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  <w:t>Sponsored Research Exception</w:t>
      </w:r>
    </w:p>
    <w:p w14:paraId="15D4DB64" w14:textId="635EA14D" w:rsidR="00A118E9" w:rsidRPr="008313C8" w:rsidRDefault="00C570DE" w:rsidP="008313C8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C</w:t>
      </w:r>
      <w:r w:rsidR="008A5875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ertain sponsored research agreements incorporate a</w:t>
      </w:r>
      <w:r w:rsidR="00F1049B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unique</w:t>
      </w:r>
      <w:r w:rsidR="008A5875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IPIA. If you </w:t>
      </w:r>
      <w:r w:rsidR="000773F7">
        <w:rPr>
          <w:rFonts w:ascii="Times New Roman" w:eastAsia="Times New Roman" w:hAnsi="Times New Roman" w:cs="Times New Roman"/>
          <w:color w:val="252525"/>
          <w:sz w:val="19"/>
          <w:szCs w:val="19"/>
        </w:rPr>
        <w:t>think</w:t>
      </w:r>
      <w:r w:rsidR="008A5875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this applies, contact </w:t>
      </w:r>
      <w:hyperlink r:id="rId21" w:history="1">
        <w:r w:rsidR="00F7327E" w:rsidRPr="00634991">
          <w:rPr>
            <w:rStyle w:val="Hyperlink"/>
            <w:rFonts w:ascii="Times New Roman" w:eastAsia="Times New Roman" w:hAnsi="Times New Roman" w:cs="Times New Roman"/>
            <w:sz w:val="19"/>
            <w:szCs w:val="19"/>
          </w:rPr>
          <w:t>tlo-ipia@mit.edu</w:t>
        </w:r>
      </w:hyperlink>
      <w:r w:rsidR="00F7327E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  <w:r w:rsidR="002B1082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with the </w:t>
      </w:r>
      <w:r w:rsidR="00F1049B">
        <w:rPr>
          <w:rFonts w:ascii="Times New Roman" w:eastAsia="Times New Roman" w:hAnsi="Times New Roman" w:cs="Times New Roman"/>
          <w:color w:val="252525"/>
          <w:sz w:val="19"/>
          <w:szCs w:val="19"/>
        </w:rPr>
        <w:t>name of the sponsor and the P</w:t>
      </w:r>
      <w:r w:rsidR="00912992">
        <w:rPr>
          <w:rFonts w:ascii="Times New Roman" w:eastAsia="Times New Roman" w:hAnsi="Times New Roman" w:cs="Times New Roman"/>
          <w:color w:val="252525"/>
          <w:sz w:val="19"/>
          <w:szCs w:val="19"/>
        </w:rPr>
        <w:t>I</w:t>
      </w:r>
      <w:r w:rsidR="00F1049B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(or the </w:t>
      </w:r>
      <w:r w:rsidR="002B1082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OSP account number </w:t>
      </w:r>
      <w:r w:rsidR="00F1049B">
        <w:rPr>
          <w:rFonts w:ascii="Times New Roman" w:eastAsia="Times New Roman" w:hAnsi="Times New Roman" w:cs="Times New Roman"/>
          <w:color w:val="252525"/>
          <w:sz w:val="19"/>
          <w:szCs w:val="19"/>
        </w:rPr>
        <w:t>if you have it)</w:t>
      </w:r>
      <w:r w:rsidR="00FE1C32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.</w:t>
      </w:r>
    </w:p>
    <w:p w14:paraId="02B398D4" w14:textId="6F52A254" w:rsidR="00855D62" w:rsidRPr="005127FD" w:rsidRDefault="00AE4586" w:rsidP="00474D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  <w:t>Temporary Employees</w:t>
      </w:r>
    </w:p>
    <w:p w14:paraId="44B2A348" w14:textId="58CF774F" w:rsidR="00944B67" w:rsidRPr="00944B67" w:rsidRDefault="00AE4586" w:rsidP="00944B6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0171A3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Temporary employees processed through </w:t>
      </w:r>
      <w:proofErr w:type="spellStart"/>
      <w:r w:rsidRPr="000171A3">
        <w:rPr>
          <w:rFonts w:ascii="Times New Roman" w:eastAsia="Times New Roman" w:hAnsi="Times New Roman" w:cs="Times New Roman"/>
          <w:color w:val="252525"/>
          <w:sz w:val="19"/>
          <w:szCs w:val="19"/>
        </w:rPr>
        <w:t>nextSource</w:t>
      </w:r>
      <w:proofErr w:type="spellEnd"/>
      <w:r w:rsidRPr="000171A3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sign the IPIA as a condition of employment.</w:t>
      </w:r>
    </w:p>
    <w:p w14:paraId="22C8E2B3" w14:textId="29B1DF5E" w:rsidR="000171A3" w:rsidRPr="00F1049B" w:rsidRDefault="002B7C36" w:rsidP="00F1049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>DLCs</w:t>
      </w:r>
      <w:r w:rsidR="000171A3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  <w:r w:rsidR="00BC5AFC">
        <w:rPr>
          <w:rFonts w:ascii="Times New Roman" w:eastAsia="Times New Roman" w:hAnsi="Times New Roman" w:cs="Times New Roman"/>
          <w:color w:val="252525"/>
          <w:sz w:val="19"/>
          <w:szCs w:val="19"/>
        </w:rPr>
        <w:t>can</w:t>
      </w:r>
      <w:r w:rsidR="000171A3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request </w:t>
      </w:r>
      <w:r w:rsidR="006B6B61">
        <w:rPr>
          <w:rFonts w:ascii="Times New Roman" w:eastAsia="Times New Roman" w:hAnsi="Times New Roman" w:cs="Times New Roman"/>
          <w:color w:val="252525"/>
          <w:sz w:val="19"/>
          <w:szCs w:val="19"/>
        </w:rPr>
        <w:t>copies of these IPIAs from</w:t>
      </w:r>
      <w:r w:rsidR="000171A3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the TLO</w:t>
      </w:r>
      <w:r w:rsidR="006B6B61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(</w:t>
      </w:r>
      <w:hyperlink r:id="rId22" w:history="1">
        <w:r w:rsidR="006B6B61" w:rsidRPr="00E96491">
          <w:rPr>
            <w:rStyle w:val="Hyperlink"/>
            <w:rFonts w:ascii="Times New Roman" w:eastAsia="Times New Roman" w:hAnsi="Times New Roman" w:cs="Times New Roman"/>
            <w:sz w:val="19"/>
            <w:szCs w:val="19"/>
          </w:rPr>
          <w:t>tlo-ipia@mit.edu</w:t>
        </w:r>
      </w:hyperlink>
      <w:r w:rsidR="006B6B61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). </w:t>
      </w:r>
      <w:r w:rsidR="000171A3" w:rsidRPr="00F1049B">
        <w:rPr>
          <w:rFonts w:ascii="Times New Roman" w:eastAsia="Times New Roman" w:hAnsi="Times New Roman" w:cs="Times New Roman"/>
          <w:color w:val="252525"/>
          <w:sz w:val="19"/>
          <w:szCs w:val="19"/>
        </w:rPr>
        <w:br/>
      </w:r>
    </w:p>
    <w:p w14:paraId="674EFC66" w14:textId="38240047" w:rsidR="004B2F82" w:rsidRPr="005127FD" w:rsidRDefault="00AE4586" w:rsidP="004B2F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  <w:r w:rsidR="004B2F82" w:rsidRPr="005127FD"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  <w:t>Visiting and Research Affiliate Appointments</w:t>
      </w:r>
      <w:r w:rsidR="00971953"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  <w:t xml:space="preserve"> </w:t>
      </w:r>
    </w:p>
    <w:p w14:paraId="3D3BA976" w14:textId="77777777" w:rsidR="00AF11B2" w:rsidRDefault="00AF11B2" w:rsidP="00AF11B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Collect the IPIA from the visitor </w:t>
      </w:r>
      <w:r w:rsidRPr="005127FD">
        <w:rPr>
          <w:rFonts w:ascii="Times New Roman" w:hAnsi="Times New Roman" w:cs="Times New Roman"/>
          <w:sz w:val="20"/>
          <w:szCs w:val="20"/>
        </w:rPr>
        <w:t>or affiliate as early as possible in the appointment process</w:t>
      </w:r>
      <w:r w:rsidRPr="006A478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C35D09C" w14:textId="34E0EFBB" w:rsidR="004B2F82" w:rsidRDefault="004B2F82" w:rsidP="004B2F82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Visiting appointees and Research Affiliates must sign a Visitor IPIA form which requires the signature of the visitor’s employer</w:t>
      </w:r>
      <w:r w:rsidR="000B5AAC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(an authorized signatory in a </w:t>
      </w:r>
      <w:r w:rsidR="00A74EA7">
        <w:rPr>
          <w:rFonts w:ascii="Times New Roman" w:eastAsia="Times New Roman" w:hAnsi="Times New Roman" w:cs="Times New Roman"/>
          <w:color w:val="252525"/>
          <w:sz w:val="19"/>
          <w:szCs w:val="19"/>
        </w:rPr>
        <w:t>t</w:t>
      </w:r>
      <w:r w:rsidR="000B5AAC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ech </w:t>
      </w:r>
      <w:r w:rsidR="00A74EA7">
        <w:rPr>
          <w:rFonts w:ascii="Times New Roman" w:eastAsia="Times New Roman" w:hAnsi="Times New Roman" w:cs="Times New Roman"/>
          <w:color w:val="252525"/>
          <w:sz w:val="19"/>
          <w:szCs w:val="19"/>
        </w:rPr>
        <w:t>t</w:t>
      </w:r>
      <w:r w:rsidR="000B5AAC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ransfer </w:t>
      </w:r>
      <w:r w:rsidR="00A74EA7">
        <w:rPr>
          <w:rFonts w:ascii="Times New Roman" w:eastAsia="Times New Roman" w:hAnsi="Times New Roman" w:cs="Times New Roman"/>
          <w:color w:val="252525"/>
          <w:sz w:val="19"/>
          <w:szCs w:val="19"/>
        </w:rPr>
        <w:t>o</w:t>
      </w:r>
      <w:r w:rsidR="000B5AAC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ffice equivalent or legal counsel</w:t>
      </w:r>
      <w:r w:rsidR="00074264">
        <w:rPr>
          <w:rFonts w:ascii="Times New Roman" w:eastAsia="Times New Roman" w:hAnsi="Times New Roman" w:cs="Times New Roman"/>
          <w:color w:val="252525"/>
          <w:sz w:val="19"/>
          <w:szCs w:val="19"/>
        </w:rPr>
        <w:t>)</w:t>
      </w:r>
      <w:r w:rsidR="000B5AAC"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. </w:t>
      </w:r>
      <w:r w:rsidR="007A6112">
        <w:rPr>
          <w:rFonts w:ascii="Times New Roman" w:eastAsia="Times New Roman" w:hAnsi="Times New Roman" w:cs="Times New Roman"/>
          <w:color w:val="252525"/>
          <w:sz w:val="19"/>
          <w:szCs w:val="19"/>
        </w:rPr>
        <w:t>Advise the visitor to present the form to a senior supervisor if they’re unsure.</w:t>
      </w:r>
    </w:p>
    <w:p w14:paraId="3459A6EF" w14:textId="772ABC5E" w:rsidR="00AF11B2" w:rsidRPr="00AF11B2" w:rsidRDefault="00AF11B2" w:rsidP="00AF11B2">
      <w:pPr>
        <w:pStyle w:val="ListParagraph"/>
        <w:numPr>
          <w:ilvl w:val="0"/>
          <w:numId w:val="10"/>
        </w:numPr>
        <w:ind w:right="-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Company founders should sign as an individual and in their capacity as a company founder or executive officer. </w:t>
      </w:r>
    </w:p>
    <w:p w14:paraId="42C08951" w14:textId="317D5172" w:rsidR="004B2F82" w:rsidRPr="00376CB1" w:rsidRDefault="00D65C1D" w:rsidP="004B2F8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E83DC3">
        <w:rPr>
          <w:rFonts w:ascii="Times New Roman" w:hAnsi="Times New Roman" w:cs="Times New Roman"/>
          <w:sz w:val="20"/>
          <w:szCs w:val="20"/>
        </w:rPr>
        <w:t xml:space="preserve">TLO </w:t>
      </w:r>
      <w:r w:rsidR="00256DEF">
        <w:rPr>
          <w:rFonts w:ascii="Times New Roman" w:hAnsi="Times New Roman" w:cs="Times New Roman"/>
          <w:sz w:val="20"/>
          <w:szCs w:val="20"/>
        </w:rPr>
        <w:t>(</w:t>
      </w:r>
      <w:hyperlink r:id="rId23" w:history="1">
        <w:r w:rsidR="00256DEF" w:rsidRPr="00E96491">
          <w:rPr>
            <w:rStyle w:val="Hyperlink"/>
            <w:rFonts w:ascii="Times New Roman" w:hAnsi="Times New Roman" w:cs="Times New Roman"/>
            <w:sz w:val="20"/>
            <w:szCs w:val="20"/>
          </w:rPr>
          <w:t>tlo-ipia@mit.edu</w:t>
        </w:r>
      </w:hyperlink>
      <w:r w:rsidR="00256DEF">
        <w:rPr>
          <w:rFonts w:ascii="Times New Roman" w:hAnsi="Times New Roman" w:cs="Times New Roman"/>
          <w:sz w:val="20"/>
          <w:szCs w:val="20"/>
        </w:rPr>
        <w:t>) c</w:t>
      </w:r>
      <w:r w:rsidR="00E83DC3">
        <w:rPr>
          <w:rFonts w:ascii="Times New Roman" w:hAnsi="Times New Roman" w:cs="Times New Roman"/>
          <w:sz w:val="20"/>
          <w:szCs w:val="20"/>
        </w:rPr>
        <w:t xml:space="preserve">an </w:t>
      </w:r>
      <w:r w:rsidR="002B7C36">
        <w:rPr>
          <w:rFonts w:ascii="Times New Roman" w:hAnsi="Times New Roman" w:cs="Times New Roman"/>
          <w:sz w:val="20"/>
          <w:szCs w:val="20"/>
        </w:rPr>
        <w:t>communicat</w:t>
      </w:r>
      <w:r w:rsidR="00D45651">
        <w:rPr>
          <w:rFonts w:ascii="Times New Roman" w:hAnsi="Times New Roman" w:cs="Times New Roman"/>
          <w:sz w:val="20"/>
          <w:szCs w:val="20"/>
        </w:rPr>
        <w:t>e</w:t>
      </w:r>
      <w:r w:rsidR="002B7C36">
        <w:rPr>
          <w:rFonts w:ascii="Times New Roman" w:hAnsi="Times New Roman" w:cs="Times New Roman"/>
          <w:sz w:val="20"/>
          <w:szCs w:val="20"/>
        </w:rPr>
        <w:t xml:space="preserve"> </w:t>
      </w:r>
      <w:r w:rsidR="00256DEF">
        <w:rPr>
          <w:rFonts w:ascii="Times New Roman" w:hAnsi="Times New Roman" w:cs="Times New Roman"/>
          <w:sz w:val="20"/>
          <w:szCs w:val="20"/>
        </w:rPr>
        <w:t xml:space="preserve">directly </w:t>
      </w:r>
      <w:r w:rsidR="002B7C36">
        <w:rPr>
          <w:rFonts w:ascii="Times New Roman" w:hAnsi="Times New Roman" w:cs="Times New Roman"/>
          <w:sz w:val="20"/>
          <w:szCs w:val="20"/>
        </w:rPr>
        <w:t>with the visitor and employer</w:t>
      </w:r>
      <w:r w:rsidR="00E83DC3">
        <w:rPr>
          <w:rFonts w:ascii="Times New Roman" w:hAnsi="Times New Roman" w:cs="Times New Roman"/>
          <w:sz w:val="20"/>
          <w:szCs w:val="20"/>
        </w:rPr>
        <w:t xml:space="preserve"> </w:t>
      </w:r>
      <w:r w:rsidR="00256DEF">
        <w:rPr>
          <w:rFonts w:ascii="Times New Roman" w:hAnsi="Times New Roman" w:cs="Times New Roman"/>
          <w:sz w:val="20"/>
          <w:szCs w:val="20"/>
        </w:rPr>
        <w:t>to help.</w:t>
      </w:r>
      <w:r w:rsidR="00E83D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E6A6E7" w14:textId="35BCEED1" w:rsidR="004B2F82" w:rsidRPr="005127FD" w:rsidRDefault="004B2F82" w:rsidP="00AF11B2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The TLO may </w:t>
      </w:r>
      <w:r w:rsidRPr="00882D32">
        <w:rPr>
          <w:rFonts w:ascii="Times New Roman" w:eastAsia="Times New Roman" w:hAnsi="Times New Roman" w:cs="Times New Roman"/>
          <w:color w:val="252525"/>
          <w:sz w:val="19"/>
          <w:szCs w:val="19"/>
          <w:u w:val="single"/>
        </w:rPr>
        <w:t>waive th</w:t>
      </w:r>
      <w:r w:rsidR="00AF11B2">
        <w:rPr>
          <w:rFonts w:ascii="Times New Roman" w:eastAsia="Times New Roman" w:hAnsi="Times New Roman" w:cs="Times New Roman"/>
          <w:color w:val="252525"/>
          <w:sz w:val="19"/>
          <w:szCs w:val="19"/>
          <w:u w:val="single"/>
        </w:rPr>
        <w:t xml:space="preserve">e employer signature </w:t>
      </w:r>
      <w:r w:rsidRPr="00882D32">
        <w:rPr>
          <w:rFonts w:ascii="Times New Roman" w:eastAsia="Times New Roman" w:hAnsi="Times New Roman" w:cs="Times New Roman"/>
          <w:color w:val="252525"/>
          <w:sz w:val="19"/>
          <w:szCs w:val="19"/>
          <w:u w:val="single"/>
        </w:rPr>
        <w:t>requirement</w:t>
      </w: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with </w:t>
      </w:r>
      <w:r w:rsidR="007242C5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the employer’s </w:t>
      </w: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written </w:t>
      </w:r>
      <w:r w:rsidR="006C0A4C">
        <w:rPr>
          <w:rFonts w:ascii="Times New Roman" w:eastAsia="Times New Roman" w:hAnsi="Times New Roman" w:cs="Times New Roman"/>
          <w:color w:val="252525"/>
          <w:sz w:val="19"/>
          <w:szCs w:val="19"/>
        </w:rPr>
        <w:t>assertion</w:t>
      </w: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that: </w:t>
      </w:r>
    </w:p>
    <w:p w14:paraId="7E9DF21C" w14:textId="77777777" w:rsidR="004B2F82" w:rsidRPr="005127FD" w:rsidRDefault="004B2F82" w:rsidP="00AF11B2">
      <w:pPr>
        <w:pStyle w:val="ListParagraph"/>
        <w:numPr>
          <w:ilvl w:val="1"/>
          <w:numId w:val="10"/>
        </w:numPr>
        <w:spacing w:line="240" w:lineRule="auto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the visitor’s work at MIT is unrelated to the employer’s business and will not be conducted during company time or with company resources; or </w:t>
      </w:r>
    </w:p>
    <w:p w14:paraId="47C07D62" w14:textId="158718B7" w:rsidR="008313C8" w:rsidRDefault="004B2F82" w:rsidP="00AF11B2">
      <w:pPr>
        <w:pStyle w:val="ListParagraph"/>
        <w:numPr>
          <w:ilvl w:val="1"/>
          <w:numId w:val="10"/>
        </w:numPr>
        <w:spacing w:line="240" w:lineRule="auto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the employer </w:t>
      </w: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(or, in the case of students, the home institution) </w:t>
      </w: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has no contractual claim over the Visitor’s intellectual property. </w:t>
      </w:r>
    </w:p>
    <w:p w14:paraId="7ACBE477" w14:textId="17928CE3" w:rsidR="0040377B" w:rsidRDefault="0040377B" w:rsidP="00AF11B2">
      <w:pPr>
        <w:pStyle w:val="ListParagraph"/>
        <w:numPr>
          <w:ilvl w:val="1"/>
          <w:numId w:val="10"/>
        </w:numPr>
        <w:spacing w:line="240" w:lineRule="auto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BUT – </w:t>
      </w:r>
      <w:r w:rsidRPr="00CF5E0F">
        <w:rPr>
          <w:rFonts w:ascii="Times New Roman" w:eastAsia="Times New Roman" w:hAnsi="Times New Roman" w:cs="Times New Roman"/>
          <w:i/>
          <w:color w:val="252525"/>
          <w:sz w:val="19"/>
          <w:szCs w:val="19"/>
        </w:rPr>
        <w:t xml:space="preserve">non-profit institution visitors </w:t>
      </w:r>
      <w:r w:rsidR="000B212E" w:rsidRPr="00CF5E0F">
        <w:rPr>
          <w:rFonts w:ascii="Times New Roman" w:eastAsia="Times New Roman" w:hAnsi="Times New Roman" w:cs="Times New Roman"/>
          <w:i/>
          <w:color w:val="252525"/>
          <w:sz w:val="19"/>
          <w:szCs w:val="19"/>
        </w:rPr>
        <w:t xml:space="preserve">requesting a waiver of the second signature </w:t>
      </w:r>
      <w:r w:rsidRPr="00CF5E0F">
        <w:rPr>
          <w:rFonts w:ascii="Times New Roman" w:eastAsia="Times New Roman" w:hAnsi="Times New Roman" w:cs="Times New Roman"/>
          <w:i/>
          <w:color w:val="252525"/>
          <w:sz w:val="19"/>
          <w:szCs w:val="19"/>
        </w:rPr>
        <w:t xml:space="preserve">must submit the standard IPIA along with any </w:t>
      </w:r>
      <w:r w:rsidR="00A53996">
        <w:rPr>
          <w:rFonts w:ascii="Times New Roman" w:eastAsia="Times New Roman" w:hAnsi="Times New Roman" w:cs="Times New Roman"/>
          <w:i/>
          <w:color w:val="252525"/>
          <w:sz w:val="19"/>
          <w:szCs w:val="19"/>
        </w:rPr>
        <w:t>such assertion</w:t>
      </w:r>
      <w:r w:rsidRPr="00CF5E0F">
        <w:rPr>
          <w:rFonts w:ascii="Times New Roman" w:eastAsia="Times New Roman" w:hAnsi="Times New Roman" w:cs="Times New Roman"/>
          <w:i/>
          <w:color w:val="252525"/>
          <w:sz w:val="19"/>
          <w:szCs w:val="19"/>
        </w:rPr>
        <w:t xml:space="preserve"> (to codify proper assignment obligations)</w:t>
      </w:r>
      <w:r w:rsidR="007242C5" w:rsidRPr="00CF5E0F">
        <w:rPr>
          <w:rFonts w:ascii="Times New Roman" w:eastAsia="Times New Roman" w:hAnsi="Times New Roman" w:cs="Times New Roman"/>
          <w:i/>
          <w:color w:val="252525"/>
          <w:sz w:val="19"/>
          <w:szCs w:val="19"/>
        </w:rPr>
        <w:t>.</w:t>
      </w:r>
    </w:p>
    <w:p w14:paraId="0C5E28AA" w14:textId="2951C8B3" w:rsidR="004B2F82" w:rsidRPr="002665EC" w:rsidRDefault="008313C8" w:rsidP="0040377B">
      <w:pPr>
        <w:pStyle w:val="ListParagraph"/>
        <w:numPr>
          <w:ilvl w:val="1"/>
          <w:numId w:val="10"/>
        </w:numPr>
        <w:spacing w:line="240" w:lineRule="auto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Such acknowledgement must be received and reviewed by </w:t>
      </w:r>
      <w:r w:rsidR="00D65C1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the </w:t>
      </w: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TLO before a waiver will be issued. </w:t>
      </w:r>
    </w:p>
    <w:p w14:paraId="08BF4C28" w14:textId="61A40A48" w:rsidR="008313C8" w:rsidRPr="005127FD" w:rsidRDefault="008313C8" w:rsidP="008313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  <w:t>Visiting Students (including summer visiting</w:t>
      </w:r>
      <w:r w:rsidR="002B7C36"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b/>
          <w:color w:val="252525"/>
          <w:sz w:val="19"/>
          <w:szCs w:val="19"/>
        </w:rPr>
        <w:t xml:space="preserve"> </w:t>
      </w:r>
    </w:p>
    <w:p w14:paraId="3AE83047" w14:textId="12E88949" w:rsidR="00457F19" w:rsidRPr="00457F19" w:rsidRDefault="00457F19" w:rsidP="00457F1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Collect the IPIA from Visiting Students </w:t>
      </w:r>
      <w:r w:rsidRPr="005127FD">
        <w:rPr>
          <w:rFonts w:ascii="Times New Roman" w:hAnsi="Times New Roman" w:cs="Times New Roman"/>
          <w:sz w:val="20"/>
          <w:szCs w:val="20"/>
        </w:rPr>
        <w:t>as early as possible in the appointment process</w:t>
      </w:r>
      <w:r w:rsidRPr="006A478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97E46D5" w14:textId="77777777" w:rsidR="006812A2" w:rsidRPr="0003144B" w:rsidRDefault="006812A2" w:rsidP="006812A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Visiting Student </w:t>
      </w: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IPIA</w:t>
      </w: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>s</w:t>
      </w: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must be collected </w:t>
      </w:r>
      <w:r w:rsidRPr="005127FD">
        <w:rPr>
          <w:rFonts w:ascii="Times New Roman" w:eastAsia="Times New Roman" w:hAnsi="Times New Roman" w:cs="Times New Roman"/>
          <w:i/>
          <w:color w:val="252525"/>
          <w:sz w:val="19"/>
          <w:szCs w:val="19"/>
        </w:rPr>
        <w:t>by the DLC</w:t>
      </w: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(as opposed to the International Students Office) before or </w:t>
      </w: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at the time of onboarding. </w:t>
      </w:r>
    </w:p>
    <w:p w14:paraId="4CB8DB70" w14:textId="4946C45E" w:rsidR="008313C8" w:rsidRPr="00A351F9" w:rsidRDefault="008313C8" w:rsidP="00A351F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 w:rsidRPr="005127FD">
        <w:rPr>
          <w:rFonts w:ascii="Times New Roman" w:eastAsia="Times New Roman" w:hAnsi="Times New Roman" w:cs="Times New Roman"/>
          <w:color w:val="252525"/>
          <w:sz w:val="19"/>
          <w:szCs w:val="19"/>
        </w:rPr>
        <w:t>All visiting students must sign the Visitor IPIA</w:t>
      </w: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  <w:r w:rsidRPr="00DD1D39">
        <w:rPr>
          <w:rFonts w:ascii="Times New Roman" w:eastAsia="Times New Roman" w:hAnsi="Times New Roman" w:cs="Times New Roman"/>
          <w:i/>
          <w:color w:val="252525"/>
          <w:sz w:val="19"/>
          <w:szCs w:val="19"/>
        </w:rPr>
        <w:t>except</w:t>
      </w: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</w:t>
      </w:r>
      <w:r w:rsidR="00A351F9">
        <w:rPr>
          <w:rFonts w:ascii="Times New Roman" w:eastAsia="Times New Roman" w:hAnsi="Times New Roman" w:cs="Times New Roman"/>
          <w:color w:val="252525"/>
          <w:sz w:val="19"/>
          <w:szCs w:val="19"/>
        </w:rPr>
        <w:t>students</w:t>
      </w:r>
      <w:r w:rsidRPr="00A351F9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visiting during summer term (see below). </w:t>
      </w:r>
      <w:r w:rsidR="001B7BE6">
        <w:rPr>
          <w:rFonts w:ascii="Times New Roman" w:eastAsia="Times New Roman" w:hAnsi="Times New Roman" w:cs="Times New Roman"/>
          <w:color w:val="252525"/>
          <w:sz w:val="19"/>
          <w:szCs w:val="19"/>
        </w:rPr>
        <w:t>If their home institutions have questions, contact the TLO (</w:t>
      </w:r>
      <w:hyperlink r:id="rId24" w:history="1">
        <w:r w:rsidR="001B7BE6" w:rsidRPr="009537C7">
          <w:rPr>
            <w:rStyle w:val="Hyperlink"/>
            <w:rFonts w:ascii="Times New Roman" w:eastAsia="Times New Roman" w:hAnsi="Times New Roman" w:cs="Times New Roman"/>
            <w:sz w:val="19"/>
            <w:szCs w:val="19"/>
          </w:rPr>
          <w:t>tlo-ipia@mit.edu</w:t>
        </w:r>
      </w:hyperlink>
      <w:r w:rsidR="001B7BE6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) for support. </w:t>
      </w:r>
    </w:p>
    <w:p w14:paraId="74A9FD4F" w14:textId="6A0ACAA7" w:rsidR="006812A2" w:rsidRPr="00764236" w:rsidRDefault="008313C8" w:rsidP="0076423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19"/>
          <w:szCs w:val="19"/>
        </w:rPr>
      </w:pP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>Students visiting during summer term might not be subject to their home institution policies and may be able to sign the “standard” IPIA, with a written confirmation</w:t>
      </w:r>
      <w:r w:rsidR="00C473EA"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from the home institution</w:t>
      </w: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that </w:t>
      </w:r>
      <w:r w:rsidR="00C473EA">
        <w:rPr>
          <w:rFonts w:ascii="Times New Roman" w:eastAsia="Times New Roman" w:hAnsi="Times New Roman" w:cs="Times New Roman"/>
          <w:color w:val="252525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policies don’t apply. Contact </w:t>
      </w:r>
      <w:hyperlink r:id="rId25" w:history="1">
        <w:r w:rsidRPr="00634991">
          <w:rPr>
            <w:rStyle w:val="Hyperlink"/>
            <w:rFonts w:ascii="Times New Roman" w:eastAsia="Times New Roman" w:hAnsi="Times New Roman" w:cs="Times New Roman"/>
            <w:sz w:val="19"/>
            <w:szCs w:val="19"/>
          </w:rPr>
          <w:t>tlo-ipia@mit.edu</w:t>
        </w:r>
      </w:hyperlink>
      <w:r>
        <w:rPr>
          <w:rFonts w:ascii="Times New Roman" w:eastAsia="Times New Roman" w:hAnsi="Times New Roman" w:cs="Times New Roman"/>
          <w:color w:val="252525"/>
          <w:sz w:val="19"/>
          <w:szCs w:val="19"/>
        </w:rPr>
        <w:t xml:space="preserve"> with questions.</w:t>
      </w:r>
    </w:p>
    <w:sectPr w:rsidR="006812A2" w:rsidRPr="00764236" w:rsidSect="0094295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D9BE0" w14:textId="77777777" w:rsidR="007E75F2" w:rsidRDefault="007E75F2" w:rsidP="007E75F2">
      <w:pPr>
        <w:spacing w:after="0" w:line="240" w:lineRule="auto"/>
      </w:pPr>
      <w:r>
        <w:separator/>
      </w:r>
    </w:p>
  </w:endnote>
  <w:endnote w:type="continuationSeparator" w:id="0">
    <w:p w14:paraId="276FD92A" w14:textId="77777777" w:rsidR="007E75F2" w:rsidRDefault="007E75F2" w:rsidP="007E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FEF0" w14:textId="77777777" w:rsidR="009B1090" w:rsidRDefault="009B1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3D91" w14:textId="1D37F823" w:rsidR="005127FD" w:rsidRDefault="005127FD" w:rsidP="00625298">
    <w:pPr>
      <w:pStyle w:val="Footer"/>
      <w:tabs>
        <w:tab w:val="clear" w:pos="4680"/>
        <w:tab w:val="left" w:pos="3420"/>
      </w:tabs>
      <w:ind w:left="-360"/>
      <w:jc w:val="right"/>
    </w:pPr>
    <w:r w:rsidRPr="00DC2EE7">
      <w:rPr>
        <w:rFonts w:ascii="Times New Roman" w:hAnsi="Times New Roman" w:cs="Times New Roman"/>
        <w:sz w:val="20"/>
        <w:szCs w:val="20"/>
      </w:rPr>
      <w:t xml:space="preserve">Updated </w:t>
    </w:r>
    <w:r w:rsidR="009B1090">
      <w:rPr>
        <w:rFonts w:ascii="Times New Roman" w:hAnsi="Times New Roman" w:cs="Times New Roman"/>
        <w:sz w:val="20"/>
        <w:szCs w:val="20"/>
      </w:rPr>
      <w:t>23</w:t>
    </w:r>
    <w:r w:rsidR="003609D9">
      <w:rPr>
        <w:rFonts w:ascii="Times New Roman" w:hAnsi="Times New Roman" w:cs="Times New Roman"/>
        <w:sz w:val="20"/>
        <w:szCs w:val="20"/>
      </w:rPr>
      <w:t>August2</w:t>
    </w:r>
    <w:r w:rsidRPr="00DC2EE7">
      <w:rPr>
        <w:rFonts w:ascii="Times New Roman" w:hAnsi="Times New Roman" w:cs="Times New Roman"/>
        <w:sz w:val="20"/>
        <w:szCs w:val="20"/>
      </w:rPr>
      <w:t xml:space="preserve">019 </w:t>
    </w:r>
    <w:hyperlink r:id="rId1" w:history="1">
      <w:r w:rsidRPr="00DC2EE7">
        <w:rPr>
          <w:rStyle w:val="Hyperlink"/>
          <w:rFonts w:ascii="Times New Roman" w:hAnsi="Times New Roman" w:cs="Times New Roman"/>
          <w:sz w:val="20"/>
          <w:szCs w:val="20"/>
        </w:rPr>
        <w:t>tlo-ipia@mit.edu</w:t>
      </w:r>
    </w:hyperlink>
    <w:r w:rsidRPr="00DC2EE7">
      <w:rPr>
        <w:rFonts w:ascii="Times New Roman" w:hAnsi="Times New Roman" w:cs="Times New Roman"/>
        <w:sz w:val="20"/>
        <w:szCs w:val="20"/>
      </w:rPr>
      <w:t xml:space="preserve"> </w:t>
    </w:r>
    <w:r w:rsidRPr="00DC2EE7">
      <w:rPr>
        <w:rFonts w:ascii="Times New Roman" w:hAnsi="Times New Roman" w:cs="Times New Roman"/>
        <w:sz w:val="20"/>
        <w:szCs w:val="20"/>
      </w:rPr>
      <w:tab/>
    </w:r>
    <w:r>
      <w:tab/>
    </w:r>
    <w:r>
      <w:rPr>
        <w:noProof/>
      </w:rPr>
      <w:drawing>
        <wp:inline distT="0" distB="0" distL="0" distR="0" wp14:anchorId="41124DE4" wp14:editId="764302D6">
          <wp:extent cx="2219325" cy="44742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LO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851" cy="46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D8D3" w14:textId="77777777" w:rsidR="009B1090" w:rsidRDefault="009B1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9D0A6" w14:textId="77777777" w:rsidR="007E75F2" w:rsidRDefault="007E75F2" w:rsidP="007E75F2">
      <w:pPr>
        <w:spacing w:after="0" w:line="240" w:lineRule="auto"/>
      </w:pPr>
      <w:r>
        <w:separator/>
      </w:r>
    </w:p>
  </w:footnote>
  <w:footnote w:type="continuationSeparator" w:id="0">
    <w:p w14:paraId="3756420C" w14:textId="77777777" w:rsidR="007E75F2" w:rsidRDefault="007E75F2" w:rsidP="007E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AF889" w14:textId="77777777" w:rsidR="009B1090" w:rsidRDefault="009B1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0A15" w14:textId="3C5E2F93" w:rsidR="001C0C10" w:rsidRDefault="001C0C10" w:rsidP="00473A06">
    <w:pPr>
      <w:pStyle w:val="Header"/>
      <w:tabs>
        <w:tab w:val="clear" w:pos="4680"/>
        <w:tab w:val="clear" w:pos="9360"/>
        <w:tab w:val="left" w:pos="57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74197" w14:textId="5BE1C319" w:rsidR="005127FD" w:rsidRDefault="00942959" w:rsidP="00043258">
    <w:pPr>
      <w:pStyle w:val="Header"/>
      <w:tabs>
        <w:tab w:val="clear" w:pos="4680"/>
        <w:tab w:val="clear" w:pos="9360"/>
        <w:tab w:val="left" w:pos="0"/>
        <w:tab w:val="left" w:pos="4140"/>
      </w:tabs>
      <w:ind w:right="-450" w:hanging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0E971D" wp14:editId="77D3C13A">
              <wp:simplePos x="0" y="0"/>
              <wp:positionH relativeFrom="margin">
                <wp:posOffset>-228600</wp:posOffset>
              </wp:positionH>
              <wp:positionV relativeFrom="margin">
                <wp:posOffset>-114300</wp:posOffset>
              </wp:positionV>
              <wp:extent cx="64008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A326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A56F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8pt,-9pt" to="486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" o:allowincell="f" strokecolor="#a32638" strokeweight="1.2pt">
              <w10:wrap anchorx="margin" anchory="margin"/>
            </v:line>
          </w:pict>
        </mc:Fallback>
      </mc:AlternateContent>
    </w:r>
    <w:r w:rsidR="00BF4C8B">
      <w:rPr>
        <w:noProof/>
      </w:rPr>
      <w:drawing>
        <wp:inline distT="0" distB="0" distL="0" distR="0" wp14:anchorId="40E67822" wp14:editId="649B8372">
          <wp:extent cx="2219325" cy="44742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L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851" cy="46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4C8B">
      <w:tab/>
    </w:r>
    <w:r w:rsidR="00BF4C8B" w:rsidRPr="00F90B2A">
      <w:rPr>
        <w:rFonts w:ascii="Times New Roman" w:hAnsi="Times New Roman" w:cs="Times New Roman"/>
        <w:b/>
      </w:rPr>
      <w:t>Inventions and Proprietary Information Agreement (IPIA)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05E"/>
    <w:multiLevelType w:val="hybridMultilevel"/>
    <w:tmpl w:val="BF20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62E5"/>
    <w:multiLevelType w:val="multilevel"/>
    <w:tmpl w:val="5CA2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46D18"/>
    <w:multiLevelType w:val="hybridMultilevel"/>
    <w:tmpl w:val="3A647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5452"/>
    <w:multiLevelType w:val="hybridMultilevel"/>
    <w:tmpl w:val="1214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A49FF"/>
    <w:multiLevelType w:val="hybridMultilevel"/>
    <w:tmpl w:val="1490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75F9"/>
    <w:multiLevelType w:val="hybridMultilevel"/>
    <w:tmpl w:val="28B4E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F44CB"/>
    <w:multiLevelType w:val="hybridMultilevel"/>
    <w:tmpl w:val="FF90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A1B83"/>
    <w:multiLevelType w:val="hybridMultilevel"/>
    <w:tmpl w:val="2FB8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AC088D"/>
    <w:multiLevelType w:val="hybridMultilevel"/>
    <w:tmpl w:val="5982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76AD4"/>
    <w:multiLevelType w:val="hybridMultilevel"/>
    <w:tmpl w:val="2F62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84E4B"/>
    <w:multiLevelType w:val="hybridMultilevel"/>
    <w:tmpl w:val="1F5A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13422"/>
    <w:multiLevelType w:val="hybridMultilevel"/>
    <w:tmpl w:val="AFEA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7DB9"/>
    <w:multiLevelType w:val="hybridMultilevel"/>
    <w:tmpl w:val="F004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62B29"/>
    <w:multiLevelType w:val="hybridMultilevel"/>
    <w:tmpl w:val="1658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A2534"/>
    <w:multiLevelType w:val="hybridMultilevel"/>
    <w:tmpl w:val="F214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64F48"/>
    <w:multiLevelType w:val="multilevel"/>
    <w:tmpl w:val="8FC2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0A763E"/>
    <w:multiLevelType w:val="hybridMultilevel"/>
    <w:tmpl w:val="12B6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07DC7"/>
    <w:multiLevelType w:val="hybridMultilevel"/>
    <w:tmpl w:val="1678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8113A"/>
    <w:multiLevelType w:val="hybridMultilevel"/>
    <w:tmpl w:val="0A7A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10A74"/>
    <w:multiLevelType w:val="hybridMultilevel"/>
    <w:tmpl w:val="64EE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D1B1D"/>
    <w:multiLevelType w:val="multilevel"/>
    <w:tmpl w:val="C1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14"/>
  </w:num>
  <w:num w:numId="5">
    <w:abstractNumId w:val="11"/>
  </w:num>
  <w:num w:numId="6">
    <w:abstractNumId w:val="3"/>
  </w:num>
  <w:num w:numId="7">
    <w:abstractNumId w:val="18"/>
  </w:num>
  <w:num w:numId="8">
    <w:abstractNumId w:val="16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13"/>
  </w:num>
  <w:num w:numId="14">
    <w:abstractNumId w:val="10"/>
  </w:num>
  <w:num w:numId="15">
    <w:abstractNumId w:val="4"/>
  </w:num>
  <w:num w:numId="16">
    <w:abstractNumId w:val="6"/>
  </w:num>
  <w:num w:numId="17">
    <w:abstractNumId w:val="17"/>
  </w:num>
  <w:num w:numId="18">
    <w:abstractNumId w:val="5"/>
  </w:num>
  <w:num w:numId="19">
    <w:abstractNumId w:val="19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gGl1Prnf/c8wxJjs26J21Nl0BbrTJb0IBE/+4egIcX8ZdeoYC2RDuk9V7Ra3ITlIeyfgiFbC8oFgsBH/aKmMg==" w:salt="rTKsxLTQXnfYItzMYgxf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0E"/>
    <w:rsid w:val="000022D2"/>
    <w:rsid w:val="00003360"/>
    <w:rsid w:val="000060AA"/>
    <w:rsid w:val="0000728B"/>
    <w:rsid w:val="00012B9C"/>
    <w:rsid w:val="00013633"/>
    <w:rsid w:val="000171A3"/>
    <w:rsid w:val="00017A1D"/>
    <w:rsid w:val="0002211B"/>
    <w:rsid w:val="00025980"/>
    <w:rsid w:val="00025B63"/>
    <w:rsid w:val="00031324"/>
    <w:rsid w:val="0003144B"/>
    <w:rsid w:val="00035616"/>
    <w:rsid w:val="00043258"/>
    <w:rsid w:val="00043BD5"/>
    <w:rsid w:val="000520F1"/>
    <w:rsid w:val="00057D21"/>
    <w:rsid w:val="000605DA"/>
    <w:rsid w:val="00062F9C"/>
    <w:rsid w:val="00063CE1"/>
    <w:rsid w:val="000671EF"/>
    <w:rsid w:val="00067E7A"/>
    <w:rsid w:val="000704D3"/>
    <w:rsid w:val="00070D97"/>
    <w:rsid w:val="00074264"/>
    <w:rsid w:val="000773F7"/>
    <w:rsid w:val="00081C07"/>
    <w:rsid w:val="000926F6"/>
    <w:rsid w:val="00097E11"/>
    <w:rsid w:val="000A1E88"/>
    <w:rsid w:val="000A7079"/>
    <w:rsid w:val="000B0475"/>
    <w:rsid w:val="000B212E"/>
    <w:rsid w:val="000B32E7"/>
    <w:rsid w:val="000B5AAC"/>
    <w:rsid w:val="000C042B"/>
    <w:rsid w:val="000D0B3F"/>
    <w:rsid w:val="000D6DD9"/>
    <w:rsid w:val="000D74FB"/>
    <w:rsid w:val="000E4F15"/>
    <w:rsid w:val="000E5081"/>
    <w:rsid w:val="000E6680"/>
    <w:rsid w:val="000F29B0"/>
    <w:rsid w:val="000F6054"/>
    <w:rsid w:val="001051DE"/>
    <w:rsid w:val="00105BD3"/>
    <w:rsid w:val="00106260"/>
    <w:rsid w:val="00106855"/>
    <w:rsid w:val="00106928"/>
    <w:rsid w:val="00106CEE"/>
    <w:rsid w:val="001105A7"/>
    <w:rsid w:val="001132AB"/>
    <w:rsid w:val="001148E1"/>
    <w:rsid w:val="001162E4"/>
    <w:rsid w:val="00131580"/>
    <w:rsid w:val="0013434D"/>
    <w:rsid w:val="00135D11"/>
    <w:rsid w:val="00136E95"/>
    <w:rsid w:val="00137A9D"/>
    <w:rsid w:val="00137BEB"/>
    <w:rsid w:val="001430D4"/>
    <w:rsid w:val="001471EF"/>
    <w:rsid w:val="00150D12"/>
    <w:rsid w:val="00151E3B"/>
    <w:rsid w:val="00156336"/>
    <w:rsid w:val="00164FDD"/>
    <w:rsid w:val="0016692F"/>
    <w:rsid w:val="00167310"/>
    <w:rsid w:val="001673E5"/>
    <w:rsid w:val="00172991"/>
    <w:rsid w:val="00173272"/>
    <w:rsid w:val="001732B8"/>
    <w:rsid w:val="00174E1B"/>
    <w:rsid w:val="001751D1"/>
    <w:rsid w:val="00177FD1"/>
    <w:rsid w:val="00182D66"/>
    <w:rsid w:val="00190F5C"/>
    <w:rsid w:val="00192809"/>
    <w:rsid w:val="00192B12"/>
    <w:rsid w:val="00196DB1"/>
    <w:rsid w:val="001A197B"/>
    <w:rsid w:val="001A1F60"/>
    <w:rsid w:val="001A20E1"/>
    <w:rsid w:val="001A33AE"/>
    <w:rsid w:val="001A3ABB"/>
    <w:rsid w:val="001A6E67"/>
    <w:rsid w:val="001B3C81"/>
    <w:rsid w:val="001B60D0"/>
    <w:rsid w:val="001B64CA"/>
    <w:rsid w:val="001B6CDB"/>
    <w:rsid w:val="001B7BE6"/>
    <w:rsid w:val="001C01FC"/>
    <w:rsid w:val="001C0C10"/>
    <w:rsid w:val="001C1924"/>
    <w:rsid w:val="001C1F06"/>
    <w:rsid w:val="001C259F"/>
    <w:rsid w:val="001C7A5F"/>
    <w:rsid w:val="001D0E12"/>
    <w:rsid w:val="001D322F"/>
    <w:rsid w:val="001D35D1"/>
    <w:rsid w:val="001E04C0"/>
    <w:rsid w:val="001E62FF"/>
    <w:rsid w:val="001E6422"/>
    <w:rsid w:val="001F2EC0"/>
    <w:rsid w:val="001F6B40"/>
    <w:rsid w:val="00201E32"/>
    <w:rsid w:val="00202718"/>
    <w:rsid w:val="002033C9"/>
    <w:rsid w:val="002035A0"/>
    <w:rsid w:val="0020673D"/>
    <w:rsid w:val="00216705"/>
    <w:rsid w:val="0021788C"/>
    <w:rsid w:val="002245FE"/>
    <w:rsid w:val="002275CF"/>
    <w:rsid w:val="00236445"/>
    <w:rsid w:val="002365A5"/>
    <w:rsid w:val="00246395"/>
    <w:rsid w:val="002479DC"/>
    <w:rsid w:val="00250F6B"/>
    <w:rsid w:val="00252325"/>
    <w:rsid w:val="00252A8C"/>
    <w:rsid w:val="00254465"/>
    <w:rsid w:val="00254753"/>
    <w:rsid w:val="00254A28"/>
    <w:rsid w:val="00255ECF"/>
    <w:rsid w:val="00256195"/>
    <w:rsid w:val="00256A10"/>
    <w:rsid w:val="00256DEF"/>
    <w:rsid w:val="0026080A"/>
    <w:rsid w:val="002613ED"/>
    <w:rsid w:val="002623B4"/>
    <w:rsid w:val="002656B7"/>
    <w:rsid w:val="002665EC"/>
    <w:rsid w:val="00273EA3"/>
    <w:rsid w:val="00276132"/>
    <w:rsid w:val="00276B22"/>
    <w:rsid w:val="00277333"/>
    <w:rsid w:val="0028076A"/>
    <w:rsid w:val="00285483"/>
    <w:rsid w:val="002854C5"/>
    <w:rsid w:val="0029463A"/>
    <w:rsid w:val="002A4987"/>
    <w:rsid w:val="002A526C"/>
    <w:rsid w:val="002A5C45"/>
    <w:rsid w:val="002B0503"/>
    <w:rsid w:val="002B1082"/>
    <w:rsid w:val="002B34BC"/>
    <w:rsid w:val="002B6E83"/>
    <w:rsid w:val="002B7C36"/>
    <w:rsid w:val="002C137D"/>
    <w:rsid w:val="002C1B21"/>
    <w:rsid w:val="002C3255"/>
    <w:rsid w:val="002C5728"/>
    <w:rsid w:val="002C590B"/>
    <w:rsid w:val="002C6179"/>
    <w:rsid w:val="002D0D15"/>
    <w:rsid w:val="002D23CD"/>
    <w:rsid w:val="002D5721"/>
    <w:rsid w:val="002E0241"/>
    <w:rsid w:val="002E1A37"/>
    <w:rsid w:val="002F0541"/>
    <w:rsid w:val="002F1214"/>
    <w:rsid w:val="002F26F3"/>
    <w:rsid w:val="002F4169"/>
    <w:rsid w:val="003109E0"/>
    <w:rsid w:val="00313BBF"/>
    <w:rsid w:val="00314A29"/>
    <w:rsid w:val="0031762A"/>
    <w:rsid w:val="0032056C"/>
    <w:rsid w:val="00321D96"/>
    <w:rsid w:val="00321F74"/>
    <w:rsid w:val="0032559F"/>
    <w:rsid w:val="00330273"/>
    <w:rsid w:val="0033203C"/>
    <w:rsid w:val="0033230A"/>
    <w:rsid w:val="00336A95"/>
    <w:rsid w:val="00340646"/>
    <w:rsid w:val="00341293"/>
    <w:rsid w:val="0034211A"/>
    <w:rsid w:val="00347597"/>
    <w:rsid w:val="00350178"/>
    <w:rsid w:val="003543E0"/>
    <w:rsid w:val="003560C6"/>
    <w:rsid w:val="003609D9"/>
    <w:rsid w:val="00367FC2"/>
    <w:rsid w:val="00370BF1"/>
    <w:rsid w:val="00373805"/>
    <w:rsid w:val="00376BA4"/>
    <w:rsid w:val="00376CB1"/>
    <w:rsid w:val="003839EB"/>
    <w:rsid w:val="00385315"/>
    <w:rsid w:val="00392483"/>
    <w:rsid w:val="00395108"/>
    <w:rsid w:val="00395857"/>
    <w:rsid w:val="00397A0F"/>
    <w:rsid w:val="003A1AF1"/>
    <w:rsid w:val="003B25E9"/>
    <w:rsid w:val="003B6237"/>
    <w:rsid w:val="003C1ED0"/>
    <w:rsid w:val="003C30C1"/>
    <w:rsid w:val="003D6A06"/>
    <w:rsid w:val="003E3527"/>
    <w:rsid w:val="003E5B7F"/>
    <w:rsid w:val="003F494B"/>
    <w:rsid w:val="0040377B"/>
    <w:rsid w:val="0041025B"/>
    <w:rsid w:val="0041376B"/>
    <w:rsid w:val="00414006"/>
    <w:rsid w:val="00420D34"/>
    <w:rsid w:val="0042251D"/>
    <w:rsid w:val="00422A92"/>
    <w:rsid w:val="00422E1E"/>
    <w:rsid w:val="00423CE9"/>
    <w:rsid w:val="00423DCF"/>
    <w:rsid w:val="00423FEA"/>
    <w:rsid w:val="00424651"/>
    <w:rsid w:val="00425C3B"/>
    <w:rsid w:val="00433556"/>
    <w:rsid w:val="004414AB"/>
    <w:rsid w:val="004444FD"/>
    <w:rsid w:val="004569DB"/>
    <w:rsid w:val="00457F19"/>
    <w:rsid w:val="00457FC1"/>
    <w:rsid w:val="00461493"/>
    <w:rsid w:val="004620B8"/>
    <w:rsid w:val="00473A06"/>
    <w:rsid w:val="00474D27"/>
    <w:rsid w:val="004756AA"/>
    <w:rsid w:val="00483151"/>
    <w:rsid w:val="00483CF2"/>
    <w:rsid w:val="0049052C"/>
    <w:rsid w:val="004964DD"/>
    <w:rsid w:val="00496A48"/>
    <w:rsid w:val="00497069"/>
    <w:rsid w:val="00497C39"/>
    <w:rsid w:val="004A14C0"/>
    <w:rsid w:val="004A1668"/>
    <w:rsid w:val="004B2F82"/>
    <w:rsid w:val="004C1525"/>
    <w:rsid w:val="004C19A5"/>
    <w:rsid w:val="004C293F"/>
    <w:rsid w:val="004C3AD3"/>
    <w:rsid w:val="004C5597"/>
    <w:rsid w:val="004D0786"/>
    <w:rsid w:val="004D18E9"/>
    <w:rsid w:val="004D6E75"/>
    <w:rsid w:val="004E02DB"/>
    <w:rsid w:val="004E6D45"/>
    <w:rsid w:val="004F0880"/>
    <w:rsid w:val="004F12E5"/>
    <w:rsid w:val="004F6BA7"/>
    <w:rsid w:val="005001E0"/>
    <w:rsid w:val="005040B3"/>
    <w:rsid w:val="00506720"/>
    <w:rsid w:val="00506980"/>
    <w:rsid w:val="00507564"/>
    <w:rsid w:val="005121C4"/>
    <w:rsid w:val="005127FD"/>
    <w:rsid w:val="00516451"/>
    <w:rsid w:val="00521947"/>
    <w:rsid w:val="00530EB9"/>
    <w:rsid w:val="00531B13"/>
    <w:rsid w:val="0053550A"/>
    <w:rsid w:val="00545375"/>
    <w:rsid w:val="00545B24"/>
    <w:rsid w:val="00545FD5"/>
    <w:rsid w:val="005469F0"/>
    <w:rsid w:val="00547BBC"/>
    <w:rsid w:val="00554C21"/>
    <w:rsid w:val="00557C99"/>
    <w:rsid w:val="005623F4"/>
    <w:rsid w:val="00575481"/>
    <w:rsid w:val="00576A33"/>
    <w:rsid w:val="00580F84"/>
    <w:rsid w:val="00581ACB"/>
    <w:rsid w:val="00585D6F"/>
    <w:rsid w:val="00587530"/>
    <w:rsid w:val="005967F5"/>
    <w:rsid w:val="00596D77"/>
    <w:rsid w:val="005976CF"/>
    <w:rsid w:val="005A1485"/>
    <w:rsid w:val="005A20AE"/>
    <w:rsid w:val="005A43A5"/>
    <w:rsid w:val="005A4D41"/>
    <w:rsid w:val="005A5BF9"/>
    <w:rsid w:val="005A6F2E"/>
    <w:rsid w:val="005B0B3A"/>
    <w:rsid w:val="005B1A6E"/>
    <w:rsid w:val="005B3AE5"/>
    <w:rsid w:val="005B52BC"/>
    <w:rsid w:val="005B6200"/>
    <w:rsid w:val="005C285E"/>
    <w:rsid w:val="005C2D3E"/>
    <w:rsid w:val="005C2E9B"/>
    <w:rsid w:val="005C4575"/>
    <w:rsid w:val="005C5380"/>
    <w:rsid w:val="005D2463"/>
    <w:rsid w:val="005D6C77"/>
    <w:rsid w:val="005E1665"/>
    <w:rsid w:val="005E16BD"/>
    <w:rsid w:val="005F0B7D"/>
    <w:rsid w:val="005F1FEB"/>
    <w:rsid w:val="005F2285"/>
    <w:rsid w:val="005F2289"/>
    <w:rsid w:val="005F272D"/>
    <w:rsid w:val="005F367C"/>
    <w:rsid w:val="005F6771"/>
    <w:rsid w:val="005F7582"/>
    <w:rsid w:val="0062074B"/>
    <w:rsid w:val="00620BA0"/>
    <w:rsid w:val="00622EF5"/>
    <w:rsid w:val="00625298"/>
    <w:rsid w:val="00625C5D"/>
    <w:rsid w:val="00635553"/>
    <w:rsid w:val="00635E64"/>
    <w:rsid w:val="006407E8"/>
    <w:rsid w:val="0065739C"/>
    <w:rsid w:val="00662AE2"/>
    <w:rsid w:val="006634CE"/>
    <w:rsid w:val="0066585F"/>
    <w:rsid w:val="00670C54"/>
    <w:rsid w:val="0067169C"/>
    <w:rsid w:val="006727DE"/>
    <w:rsid w:val="00672CB0"/>
    <w:rsid w:val="006771FD"/>
    <w:rsid w:val="006812A2"/>
    <w:rsid w:val="00684BC0"/>
    <w:rsid w:val="00685FAF"/>
    <w:rsid w:val="00694F6F"/>
    <w:rsid w:val="00695E00"/>
    <w:rsid w:val="006A00D3"/>
    <w:rsid w:val="006A05E3"/>
    <w:rsid w:val="006A105F"/>
    <w:rsid w:val="006A24CA"/>
    <w:rsid w:val="006A478E"/>
    <w:rsid w:val="006B6B61"/>
    <w:rsid w:val="006B7E24"/>
    <w:rsid w:val="006C0A4C"/>
    <w:rsid w:val="006C1849"/>
    <w:rsid w:val="006C53F7"/>
    <w:rsid w:val="006C5C20"/>
    <w:rsid w:val="006D0F13"/>
    <w:rsid w:val="006D2D3B"/>
    <w:rsid w:val="006D3253"/>
    <w:rsid w:val="006E1B89"/>
    <w:rsid w:val="006E24D4"/>
    <w:rsid w:val="006E55B7"/>
    <w:rsid w:val="006E60B5"/>
    <w:rsid w:val="006E68B4"/>
    <w:rsid w:val="006F15E4"/>
    <w:rsid w:val="006F4B7A"/>
    <w:rsid w:val="00701806"/>
    <w:rsid w:val="0070301F"/>
    <w:rsid w:val="007048C5"/>
    <w:rsid w:val="0070614D"/>
    <w:rsid w:val="00707BDE"/>
    <w:rsid w:val="00710393"/>
    <w:rsid w:val="00715330"/>
    <w:rsid w:val="00716046"/>
    <w:rsid w:val="00717E5A"/>
    <w:rsid w:val="00722D2A"/>
    <w:rsid w:val="00723849"/>
    <w:rsid w:val="007242C5"/>
    <w:rsid w:val="00734DA3"/>
    <w:rsid w:val="00734DBF"/>
    <w:rsid w:val="0074012E"/>
    <w:rsid w:val="00744AC5"/>
    <w:rsid w:val="00746C33"/>
    <w:rsid w:val="00746CAD"/>
    <w:rsid w:val="007473F0"/>
    <w:rsid w:val="00750F99"/>
    <w:rsid w:val="007523E9"/>
    <w:rsid w:val="00755277"/>
    <w:rsid w:val="0076082D"/>
    <w:rsid w:val="00764236"/>
    <w:rsid w:val="00776A08"/>
    <w:rsid w:val="00776CA7"/>
    <w:rsid w:val="0077744F"/>
    <w:rsid w:val="00777B46"/>
    <w:rsid w:val="00781CB4"/>
    <w:rsid w:val="007823F6"/>
    <w:rsid w:val="00782B15"/>
    <w:rsid w:val="0078351A"/>
    <w:rsid w:val="007866D5"/>
    <w:rsid w:val="0078788E"/>
    <w:rsid w:val="00787EF7"/>
    <w:rsid w:val="007925AD"/>
    <w:rsid w:val="00796B91"/>
    <w:rsid w:val="007A32FB"/>
    <w:rsid w:val="007A349A"/>
    <w:rsid w:val="007A6112"/>
    <w:rsid w:val="007A65A5"/>
    <w:rsid w:val="007B0B0F"/>
    <w:rsid w:val="007C3293"/>
    <w:rsid w:val="007E31E3"/>
    <w:rsid w:val="007E75F2"/>
    <w:rsid w:val="007F3B6A"/>
    <w:rsid w:val="007F3D22"/>
    <w:rsid w:val="007F5325"/>
    <w:rsid w:val="007F5693"/>
    <w:rsid w:val="00801BCC"/>
    <w:rsid w:val="00801C3E"/>
    <w:rsid w:val="008057D2"/>
    <w:rsid w:val="008063B2"/>
    <w:rsid w:val="008118D5"/>
    <w:rsid w:val="008144C2"/>
    <w:rsid w:val="00820646"/>
    <w:rsid w:val="008247D8"/>
    <w:rsid w:val="008313C8"/>
    <w:rsid w:val="00833067"/>
    <w:rsid w:val="00834EDD"/>
    <w:rsid w:val="00840404"/>
    <w:rsid w:val="008478F6"/>
    <w:rsid w:val="008523F0"/>
    <w:rsid w:val="00855D62"/>
    <w:rsid w:val="00855D89"/>
    <w:rsid w:val="00856567"/>
    <w:rsid w:val="008566F8"/>
    <w:rsid w:val="00860FB2"/>
    <w:rsid w:val="008619F7"/>
    <w:rsid w:val="0086222F"/>
    <w:rsid w:val="00867CCC"/>
    <w:rsid w:val="00871588"/>
    <w:rsid w:val="00872DC8"/>
    <w:rsid w:val="00872EBB"/>
    <w:rsid w:val="00876051"/>
    <w:rsid w:val="00876A5E"/>
    <w:rsid w:val="00877822"/>
    <w:rsid w:val="0088035B"/>
    <w:rsid w:val="00882D32"/>
    <w:rsid w:val="00890817"/>
    <w:rsid w:val="00891F81"/>
    <w:rsid w:val="00893059"/>
    <w:rsid w:val="008942B8"/>
    <w:rsid w:val="0089478E"/>
    <w:rsid w:val="0089746E"/>
    <w:rsid w:val="008A5875"/>
    <w:rsid w:val="008A6BA3"/>
    <w:rsid w:val="008B0120"/>
    <w:rsid w:val="008B04B9"/>
    <w:rsid w:val="008B666E"/>
    <w:rsid w:val="008B7951"/>
    <w:rsid w:val="008C0D3A"/>
    <w:rsid w:val="008C2616"/>
    <w:rsid w:val="008C47A4"/>
    <w:rsid w:val="008C7DD6"/>
    <w:rsid w:val="008D0D80"/>
    <w:rsid w:val="008D0FC4"/>
    <w:rsid w:val="008D5299"/>
    <w:rsid w:val="008D5A11"/>
    <w:rsid w:val="008D5A42"/>
    <w:rsid w:val="008E3576"/>
    <w:rsid w:val="008E470A"/>
    <w:rsid w:val="008E6ED7"/>
    <w:rsid w:val="008F2364"/>
    <w:rsid w:val="008F4896"/>
    <w:rsid w:val="008F636C"/>
    <w:rsid w:val="008F71A4"/>
    <w:rsid w:val="009066FB"/>
    <w:rsid w:val="00906700"/>
    <w:rsid w:val="00912992"/>
    <w:rsid w:val="0091530B"/>
    <w:rsid w:val="0092495E"/>
    <w:rsid w:val="009263CF"/>
    <w:rsid w:val="0093230C"/>
    <w:rsid w:val="009334D1"/>
    <w:rsid w:val="00941D04"/>
    <w:rsid w:val="00941D69"/>
    <w:rsid w:val="00942959"/>
    <w:rsid w:val="009449EA"/>
    <w:rsid w:val="00944B67"/>
    <w:rsid w:val="00945B4E"/>
    <w:rsid w:val="00945C60"/>
    <w:rsid w:val="00946E99"/>
    <w:rsid w:val="00947262"/>
    <w:rsid w:val="009505C2"/>
    <w:rsid w:val="00952D8F"/>
    <w:rsid w:val="009558FF"/>
    <w:rsid w:val="00957DFA"/>
    <w:rsid w:val="009702E4"/>
    <w:rsid w:val="00971953"/>
    <w:rsid w:val="00972F20"/>
    <w:rsid w:val="00974F82"/>
    <w:rsid w:val="00976B2C"/>
    <w:rsid w:val="00977F17"/>
    <w:rsid w:val="00982DB4"/>
    <w:rsid w:val="009869F2"/>
    <w:rsid w:val="00990EB8"/>
    <w:rsid w:val="009A1565"/>
    <w:rsid w:val="009A73F4"/>
    <w:rsid w:val="009B0E97"/>
    <w:rsid w:val="009B1090"/>
    <w:rsid w:val="009B5DE4"/>
    <w:rsid w:val="009B6CEB"/>
    <w:rsid w:val="009C03A3"/>
    <w:rsid w:val="009C2EF5"/>
    <w:rsid w:val="009C38A9"/>
    <w:rsid w:val="009C7969"/>
    <w:rsid w:val="009D00CB"/>
    <w:rsid w:val="009D359C"/>
    <w:rsid w:val="009D6A1A"/>
    <w:rsid w:val="009D708D"/>
    <w:rsid w:val="009D7190"/>
    <w:rsid w:val="009E00CD"/>
    <w:rsid w:val="009E3FDB"/>
    <w:rsid w:val="009E4C7A"/>
    <w:rsid w:val="009F2E68"/>
    <w:rsid w:val="009F31EA"/>
    <w:rsid w:val="009F6ABE"/>
    <w:rsid w:val="009F70C3"/>
    <w:rsid w:val="009F7418"/>
    <w:rsid w:val="00A003F1"/>
    <w:rsid w:val="00A10720"/>
    <w:rsid w:val="00A118E9"/>
    <w:rsid w:val="00A11E25"/>
    <w:rsid w:val="00A123AE"/>
    <w:rsid w:val="00A20E9F"/>
    <w:rsid w:val="00A25109"/>
    <w:rsid w:val="00A264E5"/>
    <w:rsid w:val="00A302FD"/>
    <w:rsid w:val="00A351F9"/>
    <w:rsid w:val="00A35F60"/>
    <w:rsid w:val="00A3615C"/>
    <w:rsid w:val="00A371D3"/>
    <w:rsid w:val="00A4073D"/>
    <w:rsid w:val="00A4075D"/>
    <w:rsid w:val="00A439AC"/>
    <w:rsid w:val="00A47798"/>
    <w:rsid w:val="00A52F13"/>
    <w:rsid w:val="00A5394E"/>
    <w:rsid w:val="00A53996"/>
    <w:rsid w:val="00A55133"/>
    <w:rsid w:val="00A56301"/>
    <w:rsid w:val="00A60C04"/>
    <w:rsid w:val="00A651A0"/>
    <w:rsid w:val="00A67E17"/>
    <w:rsid w:val="00A73430"/>
    <w:rsid w:val="00A73657"/>
    <w:rsid w:val="00A74407"/>
    <w:rsid w:val="00A74C3F"/>
    <w:rsid w:val="00A74EA7"/>
    <w:rsid w:val="00A80C76"/>
    <w:rsid w:val="00A811E3"/>
    <w:rsid w:val="00A8255D"/>
    <w:rsid w:val="00A83D5E"/>
    <w:rsid w:val="00A84529"/>
    <w:rsid w:val="00A84B09"/>
    <w:rsid w:val="00A93178"/>
    <w:rsid w:val="00AA08E4"/>
    <w:rsid w:val="00AA0C47"/>
    <w:rsid w:val="00AA30C8"/>
    <w:rsid w:val="00AA3C3D"/>
    <w:rsid w:val="00AA688B"/>
    <w:rsid w:val="00AB12CB"/>
    <w:rsid w:val="00AB3CC9"/>
    <w:rsid w:val="00AB3D62"/>
    <w:rsid w:val="00AB42BA"/>
    <w:rsid w:val="00AB5F35"/>
    <w:rsid w:val="00AC27DF"/>
    <w:rsid w:val="00AC3E13"/>
    <w:rsid w:val="00AC4704"/>
    <w:rsid w:val="00AD3F8B"/>
    <w:rsid w:val="00AD493B"/>
    <w:rsid w:val="00AD49E7"/>
    <w:rsid w:val="00AD6F5E"/>
    <w:rsid w:val="00AE1D49"/>
    <w:rsid w:val="00AE4586"/>
    <w:rsid w:val="00AE56C3"/>
    <w:rsid w:val="00AF11B2"/>
    <w:rsid w:val="00AF178D"/>
    <w:rsid w:val="00AF632D"/>
    <w:rsid w:val="00B03983"/>
    <w:rsid w:val="00B054A9"/>
    <w:rsid w:val="00B10CF4"/>
    <w:rsid w:val="00B13290"/>
    <w:rsid w:val="00B14550"/>
    <w:rsid w:val="00B2753A"/>
    <w:rsid w:val="00B27D1D"/>
    <w:rsid w:val="00B30A87"/>
    <w:rsid w:val="00B31A55"/>
    <w:rsid w:val="00B32B55"/>
    <w:rsid w:val="00B35C5F"/>
    <w:rsid w:val="00B35E56"/>
    <w:rsid w:val="00B45B48"/>
    <w:rsid w:val="00B45EF3"/>
    <w:rsid w:val="00B55876"/>
    <w:rsid w:val="00B57083"/>
    <w:rsid w:val="00B637AB"/>
    <w:rsid w:val="00B637FB"/>
    <w:rsid w:val="00B708E4"/>
    <w:rsid w:val="00B73108"/>
    <w:rsid w:val="00B737BC"/>
    <w:rsid w:val="00B759E8"/>
    <w:rsid w:val="00B775DD"/>
    <w:rsid w:val="00B81E18"/>
    <w:rsid w:val="00B8697E"/>
    <w:rsid w:val="00B93453"/>
    <w:rsid w:val="00B96D2D"/>
    <w:rsid w:val="00BA20F3"/>
    <w:rsid w:val="00BA300B"/>
    <w:rsid w:val="00BA3CD8"/>
    <w:rsid w:val="00BA49CA"/>
    <w:rsid w:val="00BA65C0"/>
    <w:rsid w:val="00BB4BC8"/>
    <w:rsid w:val="00BB4C3F"/>
    <w:rsid w:val="00BB596E"/>
    <w:rsid w:val="00BC16C5"/>
    <w:rsid w:val="00BC3674"/>
    <w:rsid w:val="00BC4457"/>
    <w:rsid w:val="00BC5AFC"/>
    <w:rsid w:val="00BD0849"/>
    <w:rsid w:val="00BD24B4"/>
    <w:rsid w:val="00BD3A6A"/>
    <w:rsid w:val="00BD7098"/>
    <w:rsid w:val="00BE72FA"/>
    <w:rsid w:val="00BF4C8B"/>
    <w:rsid w:val="00BF7D53"/>
    <w:rsid w:val="00C1023D"/>
    <w:rsid w:val="00C10AAD"/>
    <w:rsid w:val="00C10EEB"/>
    <w:rsid w:val="00C13E4C"/>
    <w:rsid w:val="00C1417B"/>
    <w:rsid w:val="00C149A8"/>
    <w:rsid w:val="00C21AFD"/>
    <w:rsid w:val="00C3420C"/>
    <w:rsid w:val="00C40BEF"/>
    <w:rsid w:val="00C40F41"/>
    <w:rsid w:val="00C42BCA"/>
    <w:rsid w:val="00C430F8"/>
    <w:rsid w:val="00C43E57"/>
    <w:rsid w:val="00C473EA"/>
    <w:rsid w:val="00C50C43"/>
    <w:rsid w:val="00C55398"/>
    <w:rsid w:val="00C570DE"/>
    <w:rsid w:val="00C63BB4"/>
    <w:rsid w:val="00C750AB"/>
    <w:rsid w:val="00C76E3E"/>
    <w:rsid w:val="00C77EC5"/>
    <w:rsid w:val="00C812F8"/>
    <w:rsid w:val="00C81D62"/>
    <w:rsid w:val="00C870C2"/>
    <w:rsid w:val="00C92D07"/>
    <w:rsid w:val="00C93BD6"/>
    <w:rsid w:val="00C94A95"/>
    <w:rsid w:val="00C94CF3"/>
    <w:rsid w:val="00C959D5"/>
    <w:rsid w:val="00C96082"/>
    <w:rsid w:val="00C962D5"/>
    <w:rsid w:val="00CA1B61"/>
    <w:rsid w:val="00CA21DD"/>
    <w:rsid w:val="00CA4F3B"/>
    <w:rsid w:val="00CA6F62"/>
    <w:rsid w:val="00CA7359"/>
    <w:rsid w:val="00CB11ED"/>
    <w:rsid w:val="00CC5890"/>
    <w:rsid w:val="00CC7BC9"/>
    <w:rsid w:val="00CD55E1"/>
    <w:rsid w:val="00CD6380"/>
    <w:rsid w:val="00CE28E7"/>
    <w:rsid w:val="00CE30C2"/>
    <w:rsid w:val="00CE683A"/>
    <w:rsid w:val="00CF319D"/>
    <w:rsid w:val="00CF4043"/>
    <w:rsid w:val="00CF5E0F"/>
    <w:rsid w:val="00D00F31"/>
    <w:rsid w:val="00D062BE"/>
    <w:rsid w:val="00D1106A"/>
    <w:rsid w:val="00D12284"/>
    <w:rsid w:val="00D17554"/>
    <w:rsid w:val="00D2041B"/>
    <w:rsid w:val="00D20569"/>
    <w:rsid w:val="00D21E46"/>
    <w:rsid w:val="00D22317"/>
    <w:rsid w:val="00D2375F"/>
    <w:rsid w:val="00D275D7"/>
    <w:rsid w:val="00D32CB4"/>
    <w:rsid w:val="00D33344"/>
    <w:rsid w:val="00D40EEA"/>
    <w:rsid w:val="00D41536"/>
    <w:rsid w:val="00D41A4A"/>
    <w:rsid w:val="00D4241C"/>
    <w:rsid w:val="00D426A6"/>
    <w:rsid w:val="00D45651"/>
    <w:rsid w:val="00D578ED"/>
    <w:rsid w:val="00D60DD2"/>
    <w:rsid w:val="00D619BE"/>
    <w:rsid w:val="00D65705"/>
    <w:rsid w:val="00D65C1D"/>
    <w:rsid w:val="00D73E7E"/>
    <w:rsid w:val="00D74C28"/>
    <w:rsid w:val="00D77C9F"/>
    <w:rsid w:val="00D8060F"/>
    <w:rsid w:val="00D839E3"/>
    <w:rsid w:val="00D8550B"/>
    <w:rsid w:val="00D87D39"/>
    <w:rsid w:val="00D91012"/>
    <w:rsid w:val="00DA2067"/>
    <w:rsid w:val="00DA3055"/>
    <w:rsid w:val="00DA38B1"/>
    <w:rsid w:val="00DB606A"/>
    <w:rsid w:val="00DC2038"/>
    <w:rsid w:val="00DC4950"/>
    <w:rsid w:val="00DC69CC"/>
    <w:rsid w:val="00DD1D39"/>
    <w:rsid w:val="00DD2088"/>
    <w:rsid w:val="00DD2668"/>
    <w:rsid w:val="00DD2D1D"/>
    <w:rsid w:val="00DD38B7"/>
    <w:rsid w:val="00DD3BA8"/>
    <w:rsid w:val="00DD53B5"/>
    <w:rsid w:val="00DD6630"/>
    <w:rsid w:val="00DE27BE"/>
    <w:rsid w:val="00DF16B5"/>
    <w:rsid w:val="00DF2744"/>
    <w:rsid w:val="00DF3C39"/>
    <w:rsid w:val="00DF4166"/>
    <w:rsid w:val="00DF5AE7"/>
    <w:rsid w:val="00DF78BA"/>
    <w:rsid w:val="00E03702"/>
    <w:rsid w:val="00E037B1"/>
    <w:rsid w:val="00E059DB"/>
    <w:rsid w:val="00E105C8"/>
    <w:rsid w:val="00E11142"/>
    <w:rsid w:val="00E12ADA"/>
    <w:rsid w:val="00E17982"/>
    <w:rsid w:val="00E17B1F"/>
    <w:rsid w:val="00E204B3"/>
    <w:rsid w:val="00E21F7F"/>
    <w:rsid w:val="00E3146A"/>
    <w:rsid w:val="00E4579E"/>
    <w:rsid w:val="00E46DB1"/>
    <w:rsid w:val="00E513A3"/>
    <w:rsid w:val="00E554CB"/>
    <w:rsid w:val="00E56D44"/>
    <w:rsid w:val="00E577AC"/>
    <w:rsid w:val="00E719C7"/>
    <w:rsid w:val="00E71B72"/>
    <w:rsid w:val="00E7244C"/>
    <w:rsid w:val="00E73A66"/>
    <w:rsid w:val="00E753CE"/>
    <w:rsid w:val="00E83DC3"/>
    <w:rsid w:val="00E8460C"/>
    <w:rsid w:val="00E87314"/>
    <w:rsid w:val="00E875A4"/>
    <w:rsid w:val="00E87860"/>
    <w:rsid w:val="00E9006B"/>
    <w:rsid w:val="00E96618"/>
    <w:rsid w:val="00E97966"/>
    <w:rsid w:val="00EA2A8F"/>
    <w:rsid w:val="00EA4287"/>
    <w:rsid w:val="00EA460C"/>
    <w:rsid w:val="00EB2BD7"/>
    <w:rsid w:val="00EB651E"/>
    <w:rsid w:val="00EC0134"/>
    <w:rsid w:val="00EC6FE2"/>
    <w:rsid w:val="00EC7CEC"/>
    <w:rsid w:val="00ED2DBD"/>
    <w:rsid w:val="00ED43EC"/>
    <w:rsid w:val="00ED5D89"/>
    <w:rsid w:val="00ED7EB1"/>
    <w:rsid w:val="00EE21BB"/>
    <w:rsid w:val="00EE355E"/>
    <w:rsid w:val="00EE3925"/>
    <w:rsid w:val="00EF0BA7"/>
    <w:rsid w:val="00EF1922"/>
    <w:rsid w:val="00EF5BBD"/>
    <w:rsid w:val="00F028C4"/>
    <w:rsid w:val="00F04D0E"/>
    <w:rsid w:val="00F0537F"/>
    <w:rsid w:val="00F1049B"/>
    <w:rsid w:val="00F20984"/>
    <w:rsid w:val="00F227C9"/>
    <w:rsid w:val="00F24B7E"/>
    <w:rsid w:val="00F32F7C"/>
    <w:rsid w:val="00F37C2F"/>
    <w:rsid w:val="00F463F5"/>
    <w:rsid w:val="00F46813"/>
    <w:rsid w:val="00F52F85"/>
    <w:rsid w:val="00F53CF6"/>
    <w:rsid w:val="00F54A6D"/>
    <w:rsid w:val="00F6014B"/>
    <w:rsid w:val="00F6058C"/>
    <w:rsid w:val="00F6154C"/>
    <w:rsid w:val="00F6462E"/>
    <w:rsid w:val="00F71140"/>
    <w:rsid w:val="00F7327E"/>
    <w:rsid w:val="00F77927"/>
    <w:rsid w:val="00F8086A"/>
    <w:rsid w:val="00F8095A"/>
    <w:rsid w:val="00F81742"/>
    <w:rsid w:val="00F844E9"/>
    <w:rsid w:val="00F84A93"/>
    <w:rsid w:val="00F95FD8"/>
    <w:rsid w:val="00FA175B"/>
    <w:rsid w:val="00FA3B08"/>
    <w:rsid w:val="00FA770E"/>
    <w:rsid w:val="00FA7F84"/>
    <w:rsid w:val="00FB39DB"/>
    <w:rsid w:val="00FB50A8"/>
    <w:rsid w:val="00FC041B"/>
    <w:rsid w:val="00FC4F32"/>
    <w:rsid w:val="00FC660E"/>
    <w:rsid w:val="00FC74F4"/>
    <w:rsid w:val="00FD1A45"/>
    <w:rsid w:val="00FD4E06"/>
    <w:rsid w:val="00FE006F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047D"/>
  <w15:chartTrackingRefBased/>
  <w15:docId w15:val="{35DAABDE-1DEA-4621-9C57-202777EE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4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4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04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D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4D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04D0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ntro">
    <w:name w:val="intro"/>
    <w:basedOn w:val="Normal"/>
    <w:rsid w:val="00F0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D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A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77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7744F"/>
  </w:style>
  <w:style w:type="paragraph" w:customStyle="1" w:styleId="li2">
    <w:name w:val="li2"/>
    <w:basedOn w:val="Normal"/>
    <w:rsid w:val="0077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77744F"/>
  </w:style>
  <w:style w:type="character" w:customStyle="1" w:styleId="s4">
    <w:name w:val="s4"/>
    <w:basedOn w:val="DefaultParagraphFont"/>
    <w:rsid w:val="0077744F"/>
  </w:style>
  <w:style w:type="character" w:customStyle="1" w:styleId="s2">
    <w:name w:val="s2"/>
    <w:basedOn w:val="DefaultParagraphFont"/>
    <w:rsid w:val="0077744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3E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152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21F7F"/>
    <w:pPr>
      <w:ind w:left="720"/>
      <w:contextualSpacing/>
    </w:pPr>
  </w:style>
  <w:style w:type="paragraph" w:styleId="NoSpacing">
    <w:name w:val="No Spacing"/>
    <w:uiPriority w:val="1"/>
    <w:qFormat/>
    <w:rsid w:val="00781CB4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6A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0D3A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80F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00C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5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5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5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418"/>
  </w:style>
  <w:style w:type="paragraph" w:styleId="Footer">
    <w:name w:val="footer"/>
    <w:basedOn w:val="Normal"/>
    <w:link w:val="FooterChar"/>
    <w:uiPriority w:val="99"/>
    <w:unhideWhenUsed/>
    <w:rsid w:val="009F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418"/>
  </w:style>
  <w:style w:type="table" w:styleId="TableGrid">
    <w:name w:val="Table Grid"/>
    <w:basedOn w:val="TableNormal"/>
    <w:uiPriority w:val="39"/>
    <w:rsid w:val="0098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3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110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1093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38841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24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5503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47505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7699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0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o-ipia@mit.edu" TargetMode="External"/><Relationship Id="rId13" Type="http://schemas.openxmlformats.org/officeDocument/2006/relationships/hyperlink" Target="mailto:tlo-ipia@mit.edu" TargetMode="External"/><Relationship Id="rId18" Type="http://schemas.openxmlformats.org/officeDocument/2006/relationships/hyperlink" Target="https://tlo.mit.edu/learn-about-intellectual-property/mit-ip-policie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tlo-ipia@mit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t.ly/IPIA_Forms" TargetMode="External"/><Relationship Id="rId17" Type="http://schemas.openxmlformats.org/officeDocument/2006/relationships/hyperlink" Target="http://bit.ly/Policy_Ownership" TargetMode="External"/><Relationship Id="rId25" Type="http://schemas.openxmlformats.org/officeDocument/2006/relationships/hyperlink" Target="mailto:tlo-ipia@mit.ed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olicies.mit.edu/policies-procedures/130-information-policies/131-intellectual-property" TargetMode="External"/><Relationship Id="rId20" Type="http://schemas.openxmlformats.org/officeDocument/2006/relationships/hyperlink" Target="mailto:tlo-ipia@mit.ed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lo-ipia@mit.edu" TargetMode="External"/><Relationship Id="rId24" Type="http://schemas.openxmlformats.org/officeDocument/2006/relationships/hyperlink" Target="mailto:tlo-ipia@mit.ed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t.ly/IPIA_page" TargetMode="External"/><Relationship Id="rId23" Type="http://schemas.openxmlformats.org/officeDocument/2006/relationships/hyperlink" Target="mailto:tlo-ipia@mit.ed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atlas.mit.edu/atlas/Main.action?tab=home&amp;sapSystemId=PS1&amp;sub=group_ipia" TargetMode="External"/><Relationship Id="rId19" Type="http://schemas.openxmlformats.org/officeDocument/2006/relationships/hyperlink" Target="http://bit.ly/Policy_Guide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lo-ipia@mit.edu" TargetMode="External"/><Relationship Id="rId14" Type="http://schemas.openxmlformats.org/officeDocument/2006/relationships/hyperlink" Target="https://tlo.mit.edu/learn-about-intellectual-property/ownership/inventions-and-proprietary-information-agreement-ipia" TargetMode="External"/><Relationship Id="rId22" Type="http://schemas.openxmlformats.org/officeDocument/2006/relationships/hyperlink" Target="mailto:tlo-ipia@mit.ed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tlo-ipia@mit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F528-DF9C-4237-8490-1C491FEF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1175</Words>
  <Characters>6698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Madden</dc:creator>
  <cp:keywords/>
  <dc:description/>
  <cp:lastModifiedBy>Siri Nilsson</cp:lastModifiedBy>
  <cp:revision>8</cp:revision>
  <cp:lastPrinted>2019-03-22T19:29:00Z</cp:lastPrinted>
  <dcterms:created xsi:type="dcterms:W3CDTF">2019-08-23T17:06:00Z</dcterms:created>
  <dcterms:modified xsi:type="dcterms:W3CDTF">2019-09-27T16:27:00Z</dcterms:modified>
</cp:coreProperties>
</file>