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1D" w:rsidRDefault="00CB3F1D">
      <w:pPr>
        <w:jc w:val="center"/>
        <w:rPr>
          <w:b/>
        </w:rPr>
      </w:pPr>
      <w:r>
        <w:rPr>
          <w:b/>
        </w:rPr>
        <w:t>2.61 Internal Combustion Engine Laboratory Session</w:t>
      </w:r>
    </w:p>
    <w:p w:rsidR="00CB3F1D" w:rsidRDefault="00CB3F1D">
      <w:pPr>
        <w:jc w:val="both"/>
      </w:pPr>
      <w:r>
        <w:rPr>
          <w:b/>
        </w:rPr>
        <w:t>Engine Disassembly</w:t>
      </w:r>
      <w:r w:rsidR="00AB4E8E">
        <w:rPr>
          <w:b/>
        </w:rPr>
        <w:t xml:space="preserve">: </w:t>
      </w:r>
      <w:r w:rsidR="00215FB8">
        <w:t>2/13</w:t>
      </w:r>
      <w:r w:rsidR="00F33F79">
        <w:t>/1</w:t>
      </w:r>
      <w:r w:rsidR="00215FB8">
        <w:t>4</w:t>
      </w:r>
      <w:r w:rsidR="00E75B39">
        <w:t xml:space="preserve"> (Thurs</w:t>
      </w:r>
      <w:r>
        <w:t>day</w:t>
      </w:r>
      <w:r w:rsidR="00AB4E8E">
        <w:t>),</w:t>
      </w:r>
      <w:r w:rsidR="00215FB8">
        <w:t xml:space="preserve"> </w:t>
      </w:r>
      <w:r>
        <w:t>1</w:t>
      </w:r>
      <w:r w:rsidR="006326F6">
        <w:t>2:30</w:t>
      </w:r>
      <w:r w:rsidR="00BA0CB4">
        <w:t xml:space="preserve"> – </w:t>
      </w:r>
      <w:r w:rsidR="006326F6">
        <w:t>2</w:t>
      </w:r>
      <w:r w:rsidR="00215FB8">
        <w:t>:3</w:t>
      </w:r>
      <w:r w:rsidR="00BA0CB4">
        <w:t>0</w:t>
      </w:r>
      <w:r>
        <w:t xml:space="preserve"> PM</w:t>
      </w:r>
      <w:r w:rsidR="001B0C1B">
        <w:t xml:space="preserve">; </w:t>
      </w:r>
      <w:r w:rsidR="001B0C1B" w:rsidRPr="001B0C1B">
        <w:rPr>
          <w:b/>
        </w:rPr>
        <w:t>Report due: 2/2</w:t>
      </w:r>
      <w:r w:rsidR="00215FB8">
        <w:rPr>
          <w:b/>
        </w:rPr>
        <w:t>0</w:t>
      </w:r>
      <w:r w:rsidR="006326F6">
        <w:rPr>
          <w:b/>
        </w:rPr>
        <w:t>/201</w:t>
      </w:r>
      <w:r w:rsidR="00215FB8">
        <w:rPr>
          <w:b/>
        </w:rPr>
        <w:t>4</w:t>
      </w:r>
      <w:r w:rsidR="001B0C1B" w:rsidRPr="001B0C1B">
        <w:rPr>
          <w:b/>
        </w:rPr>
        <w:t xml:space="preserve"> (T</w:t>
      </w:r>
      <w:r w:rsidR="006326F6">
        <w:rPr>
          <w:b/>
        </w:rPr>
        <w:t>hurs</w:t>
      </w:r>
      <w:r w:rsidR="001B0C1B" w:rsidRPr="001B0C1B">
        <w:rPr>
          <w:b/>
        </w:rPr>
        <w:t>day)</w:t>
      </w:r>
    </w:p>
    <w:p w:rsidR="00CB3F1D" w:rsidRDefault="00CB3F1D">
      <w:pPr>
        <w:jc w:val="both"/>
      </w:pPr>
      <w:r>
        <w:t xml:space="preserve">Please report to </w:t>
      </w:r>
      <w:r w:rsidR="00215FB8">
        <w:t>Felipe Rodriguez</w:t>
      </w:r>
      <w:r w:rsidR="002D754B">
        <w:t xml:space="preserve"> and Thane Dewitt</w:t>
      </w:r>
      <w:r>
        <w:t xml:space="preserve"> in the Sloan Automotive Lab (first floor of Building 31).</w:t>
      </w:r>
    </w:p>
    <w:p w:rsidR="00AB4E8E" w:rsidRDefault="00AB4E8E">
      <w:pPr>
        <w:jc w:val="both"/>
      </w:pPr>
    </w:p>
    <w:p w:rsidR="00CB3F1D" w:rsidRPr="00CB3F1D" w:rsidRDefault="00CB3F1D">
      <w:pPr>
        <w:jc w:val="both"/>
        <w:rPr>
          <w:rFonts w:ascii="Arial" w:hAnsi="Arial" w:cs="Arial"/>
          <w:b/>
          <w:sz w:val="32"/>
          <w:szCs w:val="32"/>
        </w:rPr>
      </w:pPr>
      <w:r w:rsidRPr="00CB3F1D">
        <w:rPr>
          <w:rFonts w:ascii="Arial" w:hAnsi="Arial" w:cs="Arial"/>
          <w:b/>
          <w:sz w:val="32"/>
          <w:szCs w:val="32"/>
        </w:rPr>
        <w:t>Everybody should</w:t>
      </w:r>
      <w:bookmarkStart w:id="0" w:name="_GoBack"/>
      <w:bookmarkEnd w:id="0"/>
      <w:r w:rsidRPr="00CB3F1D">
        <w:rPr>
          <w:rFonts w:ascii="Arial" w:hAnsi="Arial" w:cs="Arial"/>
          <w:b/>
          <w:sz w:val="32"/>
          <w:szCs w:val="32"/>
        </w:rPr>
        <w:t xml:space="preserve"> wear safety glasses.</w:t>
      </w:r>
    </w:p>
    <w:p w:rsidR="00CB3F1D" w:rsidRDefault="00CB3F1D">
      <w:pPr>
        <w:jc w:val="both"/>
      </w:pPr>
      <w:r>
        <w:t>_________________________________________________________________________________________</w:t>
      </w:r>
    </w:p>
    <w:p w:rsidR="00CB3F1D" w:rsidRDefault="00CB3F1D">
      <w:pPr>
        <w:jc w:val="both"/>
      </w:pPr>
    </w:p>
    <w:p w:rsidR="00CB3F1D" w:rsidRDefault="00CB3F1D">
      <w:pPr>
        <w:jc w:val="both"/>
      </w:pPr>
      <w:r>
        <w:t>The purpose of this session is to get some hands-on experience on the mechanical aspect of the engine.  You should learn the mechanical construction of the engine, how the different components are arranged, and get a feel for the size and weight of the components.</w:t>
      </w:r>
      <w:r w:rsidR="00E75B39">
        <w:t xml:space="preserve">  It is important to know the numbers.</w:t>
      </w:r>
      <w:r w:rsidR="0022410E">
        <w:t xml:space="preserve">  Do weigh</w:t>
      </w:r>
      <w:r w:rsidR="00E75B39">
        <w:t xml:space="preserve"> and measure the components.</w:t>
      </w:r>
      <w:r w:rsidR="00AB4E8E">
        <w:t xml:space="preserve">  Since there are a lot of numbers to measure, divide up the team so that one person is responsible for measurement of a particular component (e.g., the piston).  Then the results could be gathered and distributed to everyone.</w:t>
      </w:r>
    </w:p>
    <w:p w:rsidR="00CB3F1D" w:rsidRDefault="00CB3F1D">
      <w:pPr>
        <w:jc w:val="both"/>
      </w:pPr>
    </w:p>
    <w:p w:rsidR="00F83C77" w:rsidRDefault="00CB3F1D">
      <w:pPr>
        <w:jc w:val="both"/>
      </w:pPr>
      <w:r>
        <w:t>There are two engines.  Both are 4-cyliner, 16-valve</w:t>
      </w:r>
      <w:r w:rsidR="00026196">
        <w:t xml:space="preserve"> SI</w:t>
      </w:r>
      <w:r>
        <w:t xml:space="preserve"> engines for the compact size vehicles.</w:t>
      </w:r>
      <w:r w:rsidR="00026196">
        <w:t xml:space="preserve"> </w:t>
      </w:r>
      <w:r w:rsidR="001B0C1B">
        <w:t xml:space="preserve"> Both engines have </w:t>
      </w:r>
      <w:r w:rsidR="00026196">
        <w:t>port-fuel injection.</w:t>
      </w:r>
    </w:p>
    <w:p w:rsidR="00F83C77" w:rsidRDefault="00F83C77">
      <w:pPr>
        <w:jc w:val="both"/>
      </w:pPr>
    </w:p>
    <w:p w:rsidR="00CB3F1D" w:rsidRDefault="00CB3F1D">
      <w:pPr>
        <w:jc w:val="both"/>
      </w:pPr>
      <w:r>
        <w:t>The class will be divided into two groups; each group is responsible to disassemble one engine.  However the whole class should participate in the initial ‘looking’ at each of the whole engine and the final study of all the parts for both engines.</w:t>
      </w:r>
    </w:p>
    <w:p w:rsidR="00CB3F1D" w:rsidRDefault="00CB3F1D">
      <w:pPr>
        <w:jc w:val="both"/>
      </w:pPr>
    </w:p>
    <w:p w:rsidR="00CB3F1D" w:rsidRDefault="00CB3F1D">
      <w:pPr>
        <w:jc w:val="both"/>
      </w:pPr>
      <w:r>
        <w:t>Before disassembly, take a look at the engines as a whole, note the arrangement of the different components, the gas exchange circuit: intake, exhaust, EGR (Exhaust Gas Recirculation), and PCV (Positiv</w:t>
      </w:r>
      <w:r w:rsidR="0051001A">
        <w:t>e Crankcase Ventilation) system;</w:t>
      </w:r>
      <w:r>
        <w:t xml:space="preserve"> the coolant circuit</w:t>
      </w:r>
      <w:r w:rsidR="0051001A">
        <w:t>;</w:t>
      </w:r>
      <w:r>
        <w:t xml:space="preserve"> the fuel flow circuit.  Understand the function of these components.</w:t>
      </w:r>
    </w:p>
    <w:p w:rsidR="00CB3F1D" w:rsidRDefault="00CB3F1D">
      <w:pPr>
        <w:jc w:val="both"/>
      </w:pPr>
    </w:p>
    <w:p w:rsidR="00CB3F1D" w:rsidRDefault="00CB3F1D">
      <w:pPr>
        <w:jc w:val="both"/>
      </w:pPr>
      <w:r>
        <w:t>When the engine is opened, look at the valve train arrangement, the lubrication circuit, the EGR route, the coolant passage, and the piston/ crank/ balance weight arrangement.</w:t>
      </w:r>
    </w:p>
    <w:p w:rsidR="00CB3F1D" w:rsidRDefault="00CB3F1D">
      <w:pPr>
        <w:jc w:val="both"/>
      </w:pPr>
      <w:r>
        <w:t>____________________________________________________________________</w:t>
      </w:r>
    </w:p>
    <w:p w:rsidR="00F83C77" w:rsidRDefault="00F83C77">
      <w:pPr>
        <w:jc w:val="both"/>
      </w:pPr>
    </w:p>
    <w:p w:rsidR="00CB3F1D" w:rsidRDefault="00215FB8">
      <w:pPr>
        <w:jc w:val="both"/>
      </w:pPr>
      <w:r>
        <w:rPr>
          <w:noProof/>
        </w:rPr>
        <w:pict>
          <v:shapetype id="_x0000_t202" coordsize="21600,21600" o:spt="202" path="m,l,21600r21600,l21600,xe">
            <v:stroke joinstyle="miter"/>
            <v:path gradientshapeok="t" o:connecttype="rect"/>
          </v:shapetype>
          <v:shape id="_x0000_s1027" type="#_x0000_t202" style="position:absolute;left:0;text-align:left;margin-left:182.55pt;margin-top:188.15pt;width:328.3pt;height:208.2pt;z-index:251657728;mso-wrap-style:none" filled="f" stroked="f">
            <v:textbox style="mso-fit-shape-to-text:t">
              <w:txbxContent>
                <w:p w:rsidR="00AB4E8E" w:rsidRPr="00D858DD" w:rsidRDefault="00B8119C" w:rsidP="00E30A2E">
                  <w:pPr>
                    <w:jc w:val="both"/>
                  </w:pPr>
                  <w:r>
                    <w:object w:dxaOrig="8371" w:dyaOrig="5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3.8pt;height:201pt" o:ole="">
                        <v:imagedata r:id="rId5" o:title=""/>
                      </v:shape>
                      <o:OLEObject Type="Embed" ProgID="Word.Picture.8" ShapeID="_x0000_i1026" DrawAspect="Content" ObjectID="_1450507121" r:id="rId6"/>
                    </w:object>
                  </w:r>
                </w:p>
              </w:txbxContent>
            </v:textbox>
            <w10:wrap type="square"/>
            <w10:anchorlock/>
          </v:shape>
        </w:pict>
      </w:r>
      <w:r w:rsidR="00CB3F1D">
        <w:t>Record the following on the next page.  The measurements may be shared by the group, but the comments and calculations should be done by each individual.</w:t>
      </w:r>
    </w:p>
    <w:p w:rsidR="00CB3F1D" w:rsidRDefault="00CB3F1D">
      <w:pPr>
        <w:jc w:val="both"/>
      </w:pPr>
    </w:p>
    <w:p w:rsidR="00E75B39" w:rsidRDefault="00E75B39">
      <w:pPr>
        <w:jc w:val="both"/>
      </w:pPr>
      <w:r>
        <w:t>M</w:t>
      </w:r>
      <w:r w:rsidR="0051001A">
        <w:t>easure the intake runner length</w:t>
      </w:r>
      <w:r>
        <w:t xml:space="preserve"> and the size of the manifold</w:t>
      </w:r>
      <w:r w:rsidR="006E30C4">
        <w:t xml:space="preserve"> (these values do not have to be precise</w:t>
      </w:r>
      <w:r w:rsidR="006326F6">
        <w:t>; they are to get you a feel for the typical numbers</w:t>
      </w:r>
      <w:r w:rsidR="006E30C4">
        <w:t>)</w:t>
      </w:r>
      <w:r>
        <w:t xml:space="preserve">.  </w:t>
      </w:r>
      <w:r w:rsidR="006E30C4">
        <w:t xml:space="preserve">Calculate the organ pipe frequency </w:t>
      </w:r>
      <w:r w:rsidR="00CB3F1D">
        <w:t xml:space="preserve">(wave length = 4*runner length) </w:t>
      </w:r>
      <w:r w:rsidR="006E30C4">
        <w:t>of the former and the ratio of the latter to the displacement volume.</w:t>
      </w:r>
    </w:p>
    <w:p w:rsidR="00CB3F1D" w:rsidRDefault="00CB3F1D">
      <w:pPr>
        <w:jc w:val="both"/>
      </w:pPr>
      <w:r>
        <w:t>Measure the Bore, the stroke, and the connecting rod lengths.</w:t>
      </w:r>
    </w:p>
    <w:p w:rsidR="004926C8" w:rsidRDefault="004926C8">
      <w:pPr>
        <w:jc w:val="both"/>
      </w:pPr>
    </w:p>
    <w:p w:rsidR="00CB3F1D" w:rsidRDefault="00CB3F1D">
      <w:pPr>
        <w:jc w:val="both"/>
      </w:pPr>
      <w:r>
        <w:t>Measure the mass and dimensions of the piston (see figure).  (Why are</w:t>
      </w:r>
      <w:r w:rsidR="004926C8">
        <w:t xml:space="preserve"> the values of B</w:t>
      </w:r>
      <w:r w:rsidR="004926C8" w:rsidRPr="004926C8">
        <w:rPr>
          <w:vertAlign w:val="subscript"/>
        </w:rPr>
        <w:t>1</w:t>
      </w:r>
      <w:r w:rsidR="004926C8">
        <w:t>, B</w:t>
      </w:r>
      <w:r w:rsidR="004926C8" w:rsidRPr="004926C8">
        <w:rPr>
          <w:vertAlign w:val="subscript"/>
        </w:rPr>
        <w:t>2</w:t>
      </w:r>
      <w:r w:rsidR="004926C8">
        <w:t>, B</w:t>
      </w:r>
      <w:r w:rsidR="004926C8" w:rsidRPr="004926C8">
        <w:rPr>
          <w:vertAlign w:val="subscript"/>
        </w:rPr>
        <w:t>3</w:t>
      </w:r>
      <w:r w:rsidR="004926C8">
        <w:t xml:space="preserve"> and B</w:t>
      </w:r>
      <w:r w:rsidR="004926C8" w:rsidRPr="004926C8">
        <w:rPr>
          <w:vertAlign w:val="subscript"/>
        </w:rPr>
        <w:t>s</w:t>
      </w:r>
      <w:r>
        <w:t xml:space="preserve"> different?)</w:t>
      </w:r>
      <w:r w:rsidR="0051001A">
        <w:t xml:space="preserve">  Estimate the inertia force required to move the piston at 6000 rpm.  Estimate the temperature at which the top land (diameter B</w:t>
      </w:r>
      <w:r w:rsidR="0051001A" w:rsidRPr="0051001A">
        <w:rPr>
          <w:vertAlign w:val="subscript"/>
        </w:rPr>
        <w:t>1</w:t>
      </w:r>
      <w:r w:rsidR="0051001A">
        <w:t>) would be touching the liner which is kept by the coolant to be at 100</w:t>
      </w:r>
      <w:r w:rsidR="0051001A">
        <w:rPr>
          <w:vertAlign w:val="superscript"/>
        </w:rPr>
        <w:t>o</w:t>
      </w:r>
      <w:r w:rsidR="0051001A">
        <w:t xml:space="preserve"> C.</w:t>
      </w:r>
    </w:p>
    <w:p w:rsidR="004926C8" w:rsidRDefault="004926C8">
      <w:pPr>
        <w:jc w:val="both"/>
      </w:pPr>
    </w:p>
    <w:p w:rsidR="00CB3F1D" w:rsidRDefault="00CB3F1D">
      <w:pPr>
        <w:jc w:val="both"/>
      </w:pPr>
      <w:r>
        <w:t xml:space="preserve">Measure the valve diameters and the lifts.  (The latter may be obtained from the cam measurements.)  Why </w:t>
      </w:r>
      <w:proofErr w:type="gramStart"/>
      <w:r w:rsidR="006326F6">
        <w:t>are the intake</w:t>
      </w:r>
      <w:proofErr w:type="gramEnd"/>
      <w:r w:rsidR="006326F6">
        <w:t xml:space="preserve"> and exhaust valve diameters</w:t>
      </w:r>
      <w:r>
        <w:t xml:space="preserve"> different?</w:t>
      </w:r>
    </w:p>
    <w:p w:rsidR="004926C8" w:rsidRDefault="004926C8">
      <w:pPr>
        <w:jc w:val="both"/>
      </w:pPr>
    </w:p>
    <w:p w:rsidR="006E30C4" w:rsidRDefault="00CB3F1D">
      <w:pPr>
        <w:jc w:val="both"/>
      </w:pPr>
      <w:r>
        <w:t>Measure the valve masses.  Estimate the spring force required to operate at 1000 and 6000 rpm.</w:t>
      </w:r>
    </w:p>
    <w:p w:rsidR="006E30C4" w:rsidRDefault="006E30C4">
      <w:pPr>
        <w:jc w:val="both"/>
      </w:pPr>
    </w:p>
    <w:p w:rsidR="00B8119C" w:rsidRDefault="00B8119C" w:rsidP="00F33F79">
      <w:pPr>
        <w:tabs>
          <w:tab w:val="left" w:pos="5760"/>
        </w:tabs>
        <w:jc w:val="both"/>
        <w:rPr>
          <w:b/>
        </w:rPr>
      </w:pPr>
      <w:r>
        <w:br w:type="page"/>
      </w:r>
      <w:r w:rsidR="00370E84" w:rsidRPr="00370E84">
        <w:rPr>
          <w:b/>
        </w:rPr>
        <w:lastRenderedPageBreak/>
        <w:t xml:space="preserve">Name: </w:t>
      </w:r>
      <w:r w:rsidR="00F33F79">
        <w:rPr>
          <w:b/>
        </w:rPr>
        <w:tab/>
        <w:t>Engine:</w:t>
      </w:r>
    </w:p>
    <w:p w:rsidR="00370E84" w:rsidRPr="00370E84" w:rsidRDefault="00370E84">
      <w:pPr>
        <w:jc w:val="both"/>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520"/>
        <w:gridCol w:w="4284"/>
      </w:tblGrid>
      <w:tr w:rsidR="006E30C4">
        <w:tc>
          <w:tcPr>
            <w:tcW w:w="3348" w:type="dxa"/>
          </w:tcPr>
          <w:p w:rsidR="00CB3F1D" w:rsidRDefault="00CB3F1D">
            <w:pPr>
              <w:jc w:val="both"/>
            </w:pPr>
            <w:r>
              <w:rPr>
                <w:b/>
              </w:rPr>
              <w:t>Engine (just fill in this form for the engine that you are working on)</w:t>
            </w:r>
          </w:p>
        </w:tc>
        <w:tc>
          <w:tcPr>
            <w:tcW w:w="2520" w:type="dxa"/>
          </w:tcPr>
          <w:p w:rsidR="006E30C4" w:rsidRDefault="00CB3F1D">
            <w:pPr>
              <w:jc w:val="center"/>
              <w:rPr>
                <w:b/>
              </w:rPr>
            </w:pPr>
            <w:r>
              <w:rPr>
                <w:b/>
              </w:rPr>
              <w:t>Measurements</w:t>
            </w:r>
          </w:p>
          <w:p w:rsidR="006E30C4" w:rsidRDefault="006E30C4">
            <w:pPr>
              <w:jc w:val="center"/>
              <w:rPr>
                <w:b/>
              </w:rPr>
            </w:pPr>
            <w:r>
              <w:rPr>
                <w:b/>
              </w:rPr>
              <w:t>(units required)</w:t>
            </w:r>
          </w:p>
        </w:tc>
        <w:tc>
          <w:tcPr>
            <w:tcW w:w="4284" w:type="dxa"/>
          </w:tcPr>
          <w:p w:rsidR="00CB3F1D" w:rsidRDefault="00CB3F1D">
            <w:pPr>
              <w:jc w:val="center"/>
              <w:rPr>
                <w:b/>
              </w:rPr>
            </w:pPr>
            <w:r>
              <w:rPr>
                <w:b/>
              </w:rPr>
              <w:t>Comments</w:t>
            </w:r>
          </w:p>
        </w:tc>
      </w:tr>
      <w:tr w:rsidR="006E30C4">
        <w:tc>
          <w:tcPr>
            <w:tcW w:w="3348" w:type="dxa"/>
          </w:tcPr>
          <w:p w:rsidR="006E30C4" w:rsidRDefault="006E30C4">
            <w:pPr>
              <w:jc w:val="both"/>
            </w:pPr>
            <w:r>
              <w:t>Intake runner length</w:t>
            </w:r>
          </w:p>
        </w:tc>
        <w:tc>
          <w:tcPr>
            <w:tcW w:w="2520" w:type="dxa"/>
          </w:tcPr>
          <w:p w:rsidR="006E30C4" w:rsidRDefault="006E30C4">
            <w:pPr>
              <w:jc w:val="both"/>
            </w:pPr>
          </w:p>
        </w:tc>
        <w:tc>
          <w:tcPr>
            <w:tcW w:w="4284" w:type="dxa"/>
          </w:tcPr>
          <w:p w:rsidR="006E30C4" w:rsidRDefault="006E30C4">
            <w:pPr>
              <w:jc w:val="both"/>
            </w:pPr>
          </w:p>
        </w:tc>
      </w:tr>
      <w:tr w:rsidR="006E30C4">
        <w:tc>
          <w:tcPr>
            <w:tcW w:w="3348" w:type="dxa"/>
          </w:tcPr>
          <w:p w:rsidR="006E30C4" w:rsidRDefault="006E30C4">
            <w:pPr>
              <w:jc w:val="both"/>
            </w:pPr>
            <w:r>
              <w:t>o</w:t>
            </w:r>
            <w:r w:rsidR="00CB3F1D">
              <w:t>rgan pipe frequency (lowest</w:t>
            </w:r>
            <w:r>
              <w:t>)</w:t>
            </w:r>
          </w:p>
        </w:tc>
        <w:tc>
          <w:tcPr>
            <w:tcW w:w="2520" w:type="dxa"/>
          </w:tcPr>
          <w:p w:rsidR="006E30C4" w:rsidRDefault="006E30C4">
            <w:pPr>
              <w:jc w:val="both"/>
            </w:pPr>
          </w:p>
        </w:tc>
        <w:tc>
          <w:tcPr>
            <w:tcW w:w="4284" w:type="dxa"/>
          </w:tcPr>
          <w:p w:rsidR="006E30C4" w:rsidRDefault="006E30C4">
            <w:pPr>
              <w:jc w:val="both"/>
            </w:pPr>
          </w:p>
        </w:tc>
      </w:tr>
      <w:tr w:rsidR="006E30C4">
        <w:tc>
          <w:tcPr>
            <w:tcW w:w="3348" w:type="dxa"/>
          </w:tcPr>
          <w:p w:rsidR="006E30C4" w:rsidRDefault="006E30C4">
            <w:pPr>
              <w:jc w:val="both"/>
            </w:pPr>
            <w:r>
              <w:t>Manifold volume</w:t>
            </w:r>
          </w:p>
        </w:tc>
        <w:tc>
          <w:tcPr>
            <w:tcW w:w="2520" w:type="dxa"/>
          </w:tcPr>
          <w:p w:rsidR="006E30C4" w:rsidRDefault="006E30C4">
            <w:pPr>
              <w:jc w:val="both"/>
            </w:pPr>
          </w:p>
        </w:tc>
        <w:tc>
          <w:tcPr>
            <w:tcW w:w="4284" w:type="dxa"/>
          </w:tcPr>
          <w:p w:rsidR="006E30C4" w:rsidRDefault="006E30C4">
            <w:pPr>
              <w:jc w:val="both"/>
            </w:pPr>
          </w:p>
        </w:tc>
      </w:tr>
      <w:tr w:rsidR="006E30C4">
        <w:tc>
          <w:tcPr>
            <w:tcW w:w="3348" w:type="dxa"/>
          </w:tcPr>
          <w:p w:rsidR="006E30C4" w:rsidRDefault="006E30C4">
            <w:pPr>
              <w:jc w:val="both"/>
            </w:pPr>
            <w:r>
              <w:t>Ratio of above to displacement</w:t>
            </w:r>
          </w:p>
        </w:tc>
        <w:tc>
          <w:tcPr>
            <w:tcW w:w="2520" w:type="dxa"/>
          </w:tcPr>
          <w:p w:rsidR="006E30C4" w:rsidRDefault="006E30C4">
            <w:pPr>
              <w:jc w:val="both"/>
            </w:pPr>
          </w:p>
        </w:tc>
        <w:tc>
          <w:tcPr>
            <w:tcW w:w="4284" w:type="dxa"/>
          </w:tcPr>
          <w:p w:rsidR="006E30C4" w:rsidRDefault="006E30C4">
            <w:pPr>
              <w:jc w:val="both"/>
            </w:pPr>
          </w:p>
        </w:tc>
      </w:tr>
      <w:tr w:rsidR="006E30C4">
        <w:tc>
          <w:tcPr>
            <w:tcW w:w="3348" w:type="dxa"/>
          </w:tcPr>
          <w:p w:rsidR="006E30C4" w:rsidRDefault="006E30C4">
            <w:pPr>
              <w:jc w:val="both"/>
            </w:pPr>
          </w:p>
        </w:tc>
        <w:tc>
          <w:tcPr>
            <w:tcW w:w="2520" w:type="dxa"/>
          </w:tcPr>
          <w:p w:rsidR="006E30C4" w:rsidRDefault="006E30C4">
            <w:pPr>
              <w:jc w:val="both"/>
            </w:pPr>
          </w:p>
        </w:tc>
        <w:tc>
          <w:tcPr>
            <w:tcW w:w="4284" w:type="dxa"/>
          </w:tcPr>
          <w:p w:rsidR="006E30C4" w:rsidRDefault="006E30C4">
            <w:pPr>
              <w:jc w:val="both"/>
            </w:pPr>
          </w:p>
        </w:tc>
      </w:tr>
      <w:tr w:rsidR="006E30C4">
        <w:tc>
          <w:tcPr>
            <w:tcW w:w="3348" w:type="dxa"/>
          </w:tcPr>
          <w:p w:rsidR="00CB3F1D" w:rsidRDefault="00CB3F1D">
            <w:pPr>
              <w:jc w:val="both"/>
            </w:pPr>
            <w:r>
              <w:t xml:space="preserve">Bore </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Stroke (2a)</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Connecting Rod Length (</w:t>
            </w:r>
            <w:r>
              <w:rPr>
                <w:position w:val="-6"/>
              </w:rPr>
              <w:object w:dxaOrig="180" w:dyaOrig="260">
                <v:shape id="_x0000_i1025" type="#_x0000_t75" style="width:9pt;height:13.2pt" o:ole="">
                  <v:imagedata r:id="rId7" o:title=""/>
                </v:shape>
                <o:OLEObject Type="Embed" ProgID="Equation.2" ShapeID="_x0000_i1025" DrawAspect="Content" ObjectID="_1450507120" r:id="rId8"/>
              </w:objec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Displacement (V</w:t>
            </w:r>
            <w:r>
              <w:rPr>
                <w:vertAlign w:val="subscript"/>
              </w:rPr>
              <w:t>D</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Piston mass</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bookmarkStart w:id="1" w:name="OLE_LINK1"/>
            <w:r>
              <w:t>Piston diameter</w:t>
            </w:r>
            <w:bookmarkEnd w:id="1"/>
            <w:r>
              <w:t xml:space="preserve"> at first land (B</w:t>
            </w:r>
            <w:r>
              <w:rPr>
                <w:vertAlign w:val="subscript"/>
              </w:rPr>
              <w:t>1</w:t>
            </w:r>
            <w:r>
              <w:t>)</w:t>
            </w:r>
          </w:p>
        </w:tc>
        <w:tc>
          <w:tcPr>
            <w:tcW w:w="2520" w:type="dxa"/>
          </w:tcPr>
          <w:p w:rsidR="00CB3F1D" w:rsidRDefault="00CB3F1D">
            <w:pPr>
              <w:jc w:val="both"/>
            </w:pPr>
          </w:p>
        </w:tc>
        <w:tc>
          <w:tcPr>
            <w:tcW w:w="4284" w:type="dxa"/>
          </w:tcPr>
          <w:p w:rsidR="00CB3F1D" w:rsidRDefault="00CB3F1D">
            <w:pPr>
              <w:jc w:val="both"/>
            </w:pPr>
          </w:p>
        </w:tc>
      </w:tr>
      <w:tr w:rsidR="0051001A">
        <w:tc>
          <w:tcPr>
            <w:tcW w:w="3348" w:type="dxa"/>
          </w:tcPr>
          <w:p w:rsidR="0051001A" w:rsidRDefault="0051001A">
            <w:pPr>
              <w:jc w:val="both"/>
            </w:pPr>
            <w:r>
              <w:t>Inertia force required to move piston at 6000 rpm</w:t>
            </w:r>
          </w:p>
        </w:tc>
        <w:tc>
          <w:tcPr>
            <w:tcW w:w="2520" w:type="dxa"/>
          </w:tcPr>
          <w:p w:rsidR="0051001A" w:rsidRDefault="0051001A">
            <w:pPr>
              <w:jc w:val="both"/>
            </w:pPr>
          </w:p>
        </w:tc>
        <w:tc>
          <w:tcPr>
            <w:tcW w:w="4284" w:type="dxa"/>
          </w:tcPr>
          <w:p w:rsidR="0051001A" w:rsidRDefault="0051001A">
            <w:pPr>
              <w:jc w:val="both"/>
            </w:pPr>
          </w:p>
        </w:tc>
      </w:tr>
      <w:tr w:rsidR="006E30C4">
        <w:tc>
          <w:tcPr>
            <w:tcW w:w="3348" w:type="dxa"/>
          </w:tcPr>
          <w:p w:rsidR="00CB3F1D" w:rsidRDefault="00CB3F1D">
            <w:pPr>
              <w:jc w:val="both"/>
            </w:pPr>
            <w:r>
              <w:t>Piston diameter at second land (B</w:t>
            </w:r>
            <w:r>
              <w:rPr>
                <w:vertAlign w:val="subscript"/>
              </w:rPr>
              <w:t>2</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Piston diameter at third land (B</w:t>
            </w:r>
            <w:r>
              <w:rPr>
                <w:vertAlign w:val="subscript"/>
              </w:rPr>
              <w:t>3</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Piston diameter at skirt (B</w:t>
            </w:r>
            <w:r>
              <w:rPr>
                <w:vertAlign w:val="subscript"/>
              </w:rPr>
              <w:t>s</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Top land height (h</w:t>
            </w:r>
            <w:r>
              <w:rPr>
                <w:vertAlign w:val="subscript"/>
              </w:rPr>
              <w:t>1</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Second land height (h</w:t>
            </w:r>
            <w:r>
              <w:rPr>
                <w:vertAlign w:val="subscript"/>
              </w:rPr>
              <w:t>2</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Third land height (h</w:t>
            </w:r>
            <w:r>
              <w:rPr>
                <w:vertAlign w:val="subscript"/>
              </w:rPr>
              <w:t>3</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Skirt height (</w:t>
            </w:r>
            <w:proofErr w:type="spellStart"/>
            <w:r>
              <w:t>h</w:t>
            </w:r>
            <w:r>
              <w:rPr>
                <w:vertAlign w:val="subscript"/>
              </w:rPr>
              <w:t>s</w:t>
            </w:r>
            <w:proofErr w:type="spellEnd"/>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Top ring groove gap (g</w:t>
            </w:r>
            <w:r>
              <w:rPr>
                <w:vertAlign w:val="subscript"/>
              </w:rPr>
              <w:t>1</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Second ring groove gap (g</w:t>
            </w:r>
            <w:r>
              <w:rPr>
                <w:vertAlign w:val="subscript"/>
              </w:rPr>
              <w:t>2</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Control ring groove gap (g</w:t>
            </w:r>
            <w:r>
              <w:rPr>
                <w:vertAlign w:val="subscript"/>
              </w:rPr>
              <w:t>3</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Top ring groove depth (d</w:t>
            </w:r>
            <w:r>
              <w:rPr>
                <w:vertAlign w:val="subscript"/>
              </w:rPr>
              <w:t>1</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Second ring groove depth (d</w:t>
            </w:r>
            <w:r>
              <w:rPr>
                <w:vertAlign w:val="subscript"/>
              </w:rPr>
              <w:t>2</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Control ring groove depth (d</w:t>
            </w:r>
            <w:r>
              <w:rPr>
                <w:vertAlign w:val="subscript"/>
              </w:rPr>
              <w:t>3</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Top ring width (w</w:t>
            </w:r>
            <w:r>
              <w:rPr>
                <w:vertAlign w:val="subscript"/>
              </w:rPr>
              <w:t>1</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Top ring thickness (t</w:t>
            </w:r>
            <w:r>
              <w:rPr>
                <w:vertAlign w:val="subscript"/>
              </w:rPr>
              <w:t>1</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Second ring width (w</w:t>
            </w:r>
            <w:r>
              <w:rPr>
                <w:vertAlign w:val="subscript"/>
              </w:rPr>
              <w:t>2</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Second ring thickness (t</w:t>
            </w:r>
            <w:r>
              <w:rPr>
                <w:vertAlign w:val="subscript"/>
              </w:rPr>
              <w:t>2</w:t>
            </w:r>
            <w:r>
              <w: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51001A" w:rsidRDefault="0051001A">
            <w:pPr>
              <w:jc w:val="both"/>
            </w:pPr>
          </w:p>
        </w:tc>
        <w:tc>
          <w:tcPr>
            <w:tcW w:w="2520" w:type="dxa"/>
          </w:tcPr>
          <w:p w:rsidR="00CB3F1D" w:rsidRDefault="00CB3F1D">
            <w:pPr>
              <w:jc w:val="both"/>
            </w:pPr>
          </w:p>
        </w:tc>
        <w:tc>
          <w:tcPr>
            <w:tcW w:w="4284" w:type="dxa"/>
          </w:tcPr>
          <w:p w:rsidR="00CB3F1D" w:rsidRDefault="00CB3F1D">
            <w:pPr>
              <w:jc w:val="both"/>
            </w:pPr>
          </w:p>
        </w:tc>
      </w:tr>
      <w:tr w:rsidR="0051001A">
        <w:tc>
          <w:tcPr>
            <w:tcW w:w="3348" w:type="dxa"/>
          </w:tcPr>
          <w:p w:rsidR="0051001A" w:rsidRDefault="0051001A">
            <w:pPr>
              <w:jc w:val="both"/>
            </w:pPr>
            <w:r>
              <w:t>Temperature at which top land interferes with liner</w:t>
            </w:r>
          </w:p>
        </w:tc>
        <w:tc>
          <w:tcPr>
            <w:tcW w:w="2520" w:type="dxa"/>
          </w:tcPr>
          <w:p w:rsidR="0051001A" w:rsidRDefault="0051001A">
            <w:pPr>
              <w:jc w:val="both"/>
            </w:pPr>
          </w:p>
        </w:tc>
        <w:tc>
          <w:tcPr>
            <w:tcW w:w="4284" w:type="dxa"/>
          </w:tcPr>
          <w:p w:rsidR="0051001A" w:rsidRDefault="0051001A">
            <w:pPr>
              <w:jc w:val="both"/>
            </w:pPr>
          </w:p>
        </w:tc>
      </w:tr>
      <w:tr w:rsidR="0051001A">
        <w:tc>
          <w:tcPr>
            <w:tcW w:w="3348" w:type="dxa"/>
          </w:tcPr>
          <w:p w:rsidR="0051001A" w:rsidRDefault="0051001A">
            <w:pPr>
              <w:jc w:val="both"/>
            </w:pPr>
          </w:p>
        </w:tc>
        <w:tc>
          <w:tcPr>
            <w:tcW w:w="2520" w:type="dxa"/>
          </w:tcPr>
          <w:p w:rsidR="0051001A" w:rsidRDefault="0051001A">
            <w:pPr>
              <w:jc w:val="both"/>
            </w:pPr>
          </w:p>
        </w:tc>
        <w:tc>
          <w:tcPr>
            <w:tcW w:w="4284" w:type="dxa"/>
          </w:tcPr>
          <w:p w:rsidR="0051001A" w:rsidRDefault="0051001A">
            <w:pPr>
              <w:jc w:val="both"/>
            </w:pPr>
          </w:p>
        </w:tc>
      </w:tr>
      <w:tr w:rsidR="006E30C4">
        <w:tc>
          <w:tcPr>
            <w:tcW w:w="3348" w:type="dxa"/>
          </w:tcPr>
          <w:p w:rsidR="00CB3F1D" w:rsidRDefault="00CB3F1D">
            <w:pPr>
              <w:jc w:val="both"/>
            </w:pPr>
            <w:r>
              <w:t>Intake valve mass</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Intake valve diameter</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Intake valve Lift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Spring force estimate for 1000 rpm</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Spring force estimate for 6000 rpm</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Exhaust valve mass</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Exhaust valve diameter</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Exhaust valve lift</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Spring force estimate for 1000 rpm</w:t>
            </w:r>
          </w:p>
        </w:tc>
        <w:tc>
          <w:tcPr>
            <w:tcW w:w="2520" w:type="dxa"/>
          </w:tcPr>
          <w:p w:rsidR="00CB3F1D" w:rsidRDefault="00CB3F1D">
            <w:pPr>
              <w:jc w:val="both"/>
            </w:pPr>
          </w:p>
        </w:tc>
        <w:tc>
          <w:tcPr>
            <w:tcW w:w="4284" w:type="dxa"/>
          </w:tcPr>
          <w:p w:rsidR="00CB3F1D" w:rsidRDefault="00CB3F1D">
            <w:pPr>
              <w:jc w:val="both"/>
            </w:pPr>
          </w:p>
        </w:tc>
      </w:tr>
      <w:tr w:rsidR="006E30C4">
        <w:tc>
          <w:tcPr>
            <w:tcW w:w="3348" w:type="dxa"/>
          </w:tcPr>
          <w:p w:rsidR="00CB3F1D" w:rsidRDefault="00CB3F1D">
            <w:pPr>
              <w:jc w:val="both"/>
            </w:pPr>
            <w:r>
              <w:t>Spring force estimate for 6000 rpm</w:t>
            </w:r>
          </w:p>
        </w:tc>
        <w:tc>
          <w:tcPr>
            <w:tcW w:w="2520" w:type="dxa"/>
          </w:tcPr>
          <w:p w:rsidR="00CB3F1D" w:rsidRDefault="00CB3F1D">
            <w:pPr>
              <w:jc w:val="both"/>
            </w:pPr>
          </w:p>
        </w:tc>
        <w:tc>
          <w:tcPr>
            <w:tcW w:w="4284" w:type="dxa"/>
          </w:tcPr>
          <w:p w:rsidR="00CB3F1D" w:rsidRDefault="00CB3F1D">
            <w:pPr>
              <w:jc w:val="both"/>
            </w:pPr>
          </w:p>
        </w:tc>
      </w:tr>
    </w:tbl>
    <w:p w:rsidR="006E30C4" w:rsidRDefault="006E30C4">
      <w:pPr>
        <w:jc w:val="both"/>
      </w:pPr>
    </w:p>
    <w:sectPr w:rsidR="006E30C4" w:rsidSect="00370E84">
      <w:pgSz w:w="12240" w:h="15840"/>
      <w:pgMar w:top="864" w:right="1152"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BA0CB4"/>
    <w:rsid w:val="00026196"/>
    <w:rsid w:val="001B0C1B"/>
    <w:rsid w:val="00215FB8"/>
    <w:rsid w:val="0022410E"/>
    <w:rsid w:val="002D754B"/>
    <w:rsid w:val="00370E84"/>
    <w:rsid w:val="004926C8"/>
    <w:rsid w:val="0051001A"/>
    <w:rsid w:val="006326F6"/>
    <w:rsid w:val="006E30C4"/>
    <w:rsid w:val="00AB4E8E"/>
    <w:rsid w:val="00B8119C"/>
    <w:rsid w:val="00BA0CB4"/>
    <w:rsid w:val="00CB3F1D"/>
    <w:rsid w:val="00DB05F9"/>
    <w:rsid w:val="00E30A2E"/>
    <w:rsid w:val="00E75B39"/>
    <w:rsid w:val="00F33F79"/>
    <w:rsid w:val="00F8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vt:lpstr>
    </vt:vector>
  </TitlesOfParts>
  <Company>mit</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Wai K Cheng</dc:creator>
  <cp:keywords/>
  <dc:description/>
  <cp:lastModifiedBy>Wai Cheng</cp:lastModifiedBy>
  <cp:revision>3</cp:revision>
  <cp:lastPrinted>2003-02-04T21:37:00Z</cp:lastPrinted>
  <dcterms:created xsi:type="dcterms:W3CDTF">2013-01-11T20:46:00Z</dcterms:created>
  <dcterms:modified xsi:type="dcterms:W3CDTF">2014-01-06T14:52:00Z</dcterms:modified>
</cp:coreProperties>
</file>