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D" w:rsidRPr="00263B8D" w:rsidRDefault="00263B8D">
      <w:pPr>
        <w:rPr>
          <w:sz w:val="28"/>
          <w:szCs w:val="28"/>
        </w:rPr>
      </w:pPr>
    </w:p>
    <w:p w:rsidR="00263B8D" w:rsidRPr="00263B8D" w:rsidRDefault="00263B8D">
      <w:pPr>
        <w:rPr>
          <w:rFonts w:ascii="Arial Bold" w:eastAsia="Times New Roman" w:hAnsi="Arial Bold"/>
          <w:b/>
          <w:bCs/>
          <w:sz w:val="28"/>
          <w:szCs w:val="28"/>
        </w:rPr>
      </w:pPr>
      <w:r w:rsidRPr="00263B8D">
        <w:rPr>
          <w:rFonts w:ascii="Arial Bold" w:eastAsia="Times New Roman" w:hAnsi="Arial Bold"/>
          <w:b/>
          <w:bCs/>
          <w:sz w:val="28"/>
          <w:szCs w:val="28"/>
        </w:rPr>
        <w:t>Student Team Challenge #1</w:t>
      </w:r>
    </w:p>
    <w:tbl>
      <w:tblPr>
        <w:tblStyle w:val="TableGrid"/>
        <w:tblW w:w="0" w:type="auto"/>
        <w:tblLook w:val="04A0" w:firstRow="1" w:lastRow="0" w:firstColumn="1" w:lastColumn="0" w:noHBand="0" w:noVBand="1"/>
      </w:tblPr>
      <w:tblGrid>
        <w:gridCol w:w="4410"/>
        <w:gridCol w:w="4446"/>
      </w:tblGrid>
      <w:tr w:rsidR="00263B8D" w:rsidTr="00DB55F7">
        <w:tc>
          <w:tcPr>
            <w:tcW w:w="4566" w:type="dxa"/>
          </w:tcPr>
          <w:p w:rsidR="00263B8D" w:rsidRDefault="00263B8D" w:rsidP="00DB55F7">
            <w:pPr>
              <w:jc w:val="center"/>
              <w:rPr>
                <w:noProof/>
              </w:rPr>
            </w:pPr>
            <w:r>
              <w:rPr>
                <w:noProof/>
              </w:rPr>
              <w:drawing>
                <wp:inline distT="0" distB="0" distL="0" distR="0" wp14:anchorId="3699E245" wp14:editId="488A3FAA">
                  <wp:extent cx="2593023" cy="2087880"/>
                  <wp:effectExtent l="0" t="0" r="1714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3B8D" w:rsidRDefault="00263B8D" w:rsidP="00DB55F7">
            <w:pPr>
              <w:jc w:val="center"/>
              <w:rPr>
                <w:rFonts w:ascii="Arial" w:eastAsia="Times New Roman" w:hAnsi="Arial"/>
                <w:szCs w:val="27"/>
              </w:rPr>
            </w:pPr>
            <w:r>
              <w:rPr>
                <w:noProof/>
              </w:rPr>
              <w:t>a</w:t>
            </w:r>
          </w:p>
        </w:tc>
        <w:tc>
          <w:tcPr>
            <w:tcW w:w="4784" w:type="dxa"/>
          </w:tcPr>
          <w:p w:rsidR="00263B8D" w:rsidRDefault="00263B8D" w:rsidP="00DB55F7">
            <w:pPr>
              <w:jc w:val="center"/>
              <w:rPr>
                <w:noProof/>
              </w:rPr>
            </w:pPr>
            <w:r>
              <w:rPr>
                <w:noProof/>
              </w:rPr>
              <w:drawing>
                <wp:inline distT="0" distB="0" distL="0" distR="0" wp14:anchorId="7AB94B59" wp14:editId="318C996F">
                  <wp:extent cx="2556827" cy="2090420"/>
                  <wp:effectExtent l="0" t="0" r="1524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3B8D" w:rsidRDefault="00263B8D" w:rsidP="00DB55F7">
            <w:pPr>
              <w:jc w:val="center"/>
              <w:rPr>
                <w:rFonts w:ascii="Arial" w:eastAsia="Times New Roman" w:hAnsi="Arial"/>
                <w:szCs w:val="27"/>
              </w:rPr>
            </w:pPr>
            <w:r>
              <w:rPr>
                <w:noProof/>
              </w:rPr>
              <w:t>b</w:t>
            </w:r>
          </w:p>
        </w:tc>
      </w:tr>
    </w:tbl>
    <w:p w:rsidR="00263B8D" w:rsidRPr="00263B8D" w:rsidRDefault="00263B8D" w:rsidP="00263B8D">
      <w:pPr>
        <w:jc w:val="center"/>
        <w:rPr>
          <w:rFonts w:ascii="Arial" w:eastAsia="Times New Roman" w:hAnsi="Arial"/>
          <w:szCs w:val="27"/>
        </w:rPr>
      </w:pPr>
      <w:r>
        <w:rPr>
          <w:rFonts w:ascii="Arial" w:eastAsia="Times New Roman" w:hAnsi="Arial"/>
          <w:szCs w:val="27"/>
        </w:rPr>
        <w:t xml:space="preserve">Figure 1: A simple example of </w:t>
      </w:r>
      <w:r w:rsidRPr="00775C96">
        <w:rPr>
          <w:rFonts w:ascii="Arial" w:eastAsia="Times New Roman" w:hAnsi="Arial"/>
          <w:szCs w:val="27"/>
        </w:rPr>
        <w:t>stock-flow concepts: (a) flows, (b) stocks</w:t>
      </w:r>
    </w:p>
    <w:p w:rsidR="00263B8D" w:rsidRDefault="00263B8D" w:rsidP="00263B8D">
      <w:pPr>
        <w:rPr>
          <w:rFonts w:ascii="Arial" w:eastAsia="Times New Roman" w:hAnsi="Arial"/>
          <w:szCs w:val="27"/>
        </w:rPr>
      </w:pPr>
      <w:r w:rsidRPr="00263B8D">
        <w:rPr>
          <w:rFonts w:ascii="Arial Bold" w:eastAsia="Times New Roman" w:hAnsi="Arial Bold"/>
          <w:b/>
          <w:bCs/>
        </w:rPr>
        <w:t>Given this information,</w:t>
      </w:r>
      <w:r>
        <w:rPr>
          <w:rFonts w:ascii="Arial" w:eastAsia="Times New Roman" w:hAnsi="Arial"/>
          <w:szCs w:val="27"/>
        </w:rPr>
        <w:t xml:space="preserve"> </w:t>
      </w:r>
      <w:r w:rsidRPr="0051401D">
        <w:rPr>
          <w:rFonts w:ascii="Arial Bold" w:eastAsia="Times New Roman" w:hAnsi="Arial Bold"/>
          <w:b/>
          <w:bCs/>
        </w:rPr>
        <w:t xml:space="preserve">can you use Figure 1a to estimate </w:t>
      </w:r>
      <w:r>
        <w:rPr>
          <w:rFonts w:ascii="Arial Bold" w:eastAsia="Times New Roman" w:hAnsi="Arial Bold"/>
          <w:b/>
          <w:bCs/>
        </w:rPr>
        <w:t xml:space="preserve">the </w:t>
      </w:r>
      <w:r w:rsidRPr="0051401D">
        <w:rPr>
          <w:rFonts w:ascii="Arial Bold" w:eastAsia="Times New Roman" w:hAnsi="Arial Bold"/>
          <w:b/>
          <w:bCs/>
        </w:rPr>
        <w:t>number of current infected from new infection and daily recovery?</w:t>
      </w:r>
      <w:r>
        <w:rPr>
          <w:rFonts w:ascii="Arial" w:eastAsia="Times New Roman" w:hAnsi="Arial"/>
          <w:szCs w:val="27"/>
        </w:rPr>
        <w:t xml:space="preserve"> Hint: From January 1</w:t>
      </w:r>
      <w:r w:rsidRPr="000526CE">
        <w:rPr>
          <w:rFonts w:ascii="Arial" w:eastAsia="Times New Roman" w:hAnsi="Arial"/>
          <w:szCs w:val="27"/>
          <w:vertAlign w:val="superscript"/>
        </w:rPr>
        <w:t>st</w:t>
      </w:r>
      <w:r>
        <w:rPr>
          <w:rFonts w:ascii="Arial" w:eastAsia="Times New Roman" w:hAnsi="Arial"/>
          <w:szCs w:val="27"/>
        </w:rPr>
        <w:t xml:space="preserve"> until 10</w:t>
      </w:r>
      <w:r w:rsidRPr="000526CE">
        <w:rPr>
          <w:rFonts w:ascii="Arial" w:eastAsia="Times New Roman" w:hAnsi="Arial"/>
          <w:szCs w:val="27"/>
          <w:vertAlign w:val="superscript"/>
        </w:rPr>
        <w:t>th</w:t>
      </w:r>
      <w:r>
        <w:rPr>
          <w:rFonts w:ascii="Arial" w:eastAsia="Times New Roman" w:hAnsi="Arial"/>
          <w:szCs w:val="27"/>
        </w:rPr>
        <w:t>, every day we are adding 100 new cases, and after January 10</w:t>
      </w:r>
      <w:r w:rsidRPr="007B2C7E">
        <w:rPr>
          <w:rFonts w:ascii="Arial" w:eastAsia="Times New Roman" w:hAnsi="Arial"/>
          <w:szCs w:val="27"/>
          <w:vertAlign w:val="superscript"/>
        </w:rPr>
        <w:t>th</w:t>
      </w:r>
      <w:r>
        <w:rPr>
          <w:rFonts w:ascii="Arial" w:eastAsia="Times New Roman" w:hAnsi="Arial"/>
          <w:szCs w:val="27"/>
        </w:rPr>
        <w:t>, we are still adding 100 new cases each day while 50 are recovering each day (net i</w:t>
      </w:r>
      <w:r w:rsidRPr="00775C96">
        <w:rPr>
          <w:rFonts w:ascii="Arial" w:eastAsia="Times New Roman" w:hAnsi="Arial"/>
          <w:szCs w:val="27"/>
        </w:rPr>
        <w:t>ncrease of 50). Figure 1b, the dotted line shows the trend of current infected. As you see, the number of infected people is still increasing. And that continues as long as inflow &gt; outflow (which was the case in this simple example). The bathtub analogy helps here too: water is flowing in to the bathtub much more than draining out, thus water is accumulating in the bathtub. This is physics ruling</w:t>
      </w:r>
      <w:r>
        <w:rPr>
          <w:rFonts w:ascii="Arial" w:eastAsia="Times New Roman" w:hAnsi="Arial"/>
          <w:szCs w:val="27"/>
        </w:rPr>
        <w:t xml:space="preserve">! </w:t>
      </w:r>
    </w:p>
    <w:p w:rsidR="00263B8D" w:rsidRPr="00263B8D" w:rsidRDefault="00263B8D" w:rsidP="00263B8D">
      <w:pPr>
        <w:rPr>
          <w:sz w:val="28"/>
          <w:szCs w:val="28"/>
        </w:rPr>
      </w:pPr>
    </w:p>
    <w:p w:rsidR="00263B8D" w:rsidRPr="00263B8D" w:rsidRDefault="00263B8D" w:rsidP="00263B8D">
      <w:pPr>
        <w:rPr>
          <w:rFonts w:ascii="Arial Bold" w:eastAsia="Times New Roman" w:hAnsi="Arial Bold"/>
          <w:b/>
          <w:bCs/>
          <w:sz w:val="28"/>
          <w:szCs w:val="28"/>
        </w:rPr>
      </w:pPr>
      <w:r>
        <w:rPr>
          <w:rFonts w:ascii="Arial Bold" w:eastAsia="Times New Roman" w:hAnsi="Arial Bold"/>
          <w:b/>
          <w:bCs/>
          <w:sz w:val="28"/>
          <w:szCs w:val="28"/>
        </w:rPr>
        <w:t>Student Team Challenge #2</w:t>
      </w:r>
    </w:p>
    <w:p w:rsidR="00263B8D" w:rsidRPr="00775C96" w:rsidRDefault="00263B8D" w:rsidP="00263B8D">
      <w:pPr>
        <w:rPr>
          <w:rFonts w:ascii="Arial" w:eastAsia="Times New Roman" w:hAnsi="Arial"/>
          <w:szCs w:val="27"/>
        </w:rPr>
      </w:pPr>
      <w:r>
        <w:rPr>
          <w:rFonts w:ascii="Arial" w:eastAsia="Times New Roman" w:hAnsi="Arial"/>
          <w:szCs w:val="27"/>
        </w:rPr>
        <w:t xml:space="preserve">The previous problem was a simple case. Consider the following. Figure 2a shows number of new infections, and daily recoveries. Daily infected (black line) starts with 50 for 5 days, then becomes 100 per day for 10 days, then back to 50 and finally to zero. Recovery (green line) follows the same pattern with a 10-day delay. </w:t>
      </w:r>
      <w:r w:rsidRPr="0051401D">
        <w:rPr>
          <w:rFonts w:ascii="Arial Bold" w:eastAsia="Times New Roman" w:hAnsi="Arial Bold"/>
          <w:b/>
          <w:bCs/>
        </w:rPr>
        <w:t>Can you estimate “cumulative infected”, “cumulative recovered” and “current infected?”</w:t>
      </w:r>
    </w:p>
    <w:tbl>
      <w:tblPr>
        <w:tblStyle w:val="TableGrid"/>
        <w:tblW w:w="0" w:type="auto"/>
        <w:tblLook w:val="04A0" w:firstRow="1" w:lastRow="0" w:firstColumn="1" w:lastColumn="0" w:noHBand="0" w:noVBand="1"/>
      </w:tblPr>
      <w:tblGrid>
        <w:gridCol w:w="4285"/>
        <w:gridCol w:w="4571"/>
      </w:tblGrid>
      <w:tr w:rsidR="00263B8D" w:rsidRPr="00775C96" w:rsidTr="00DB55F7">
        <w:tc>
          <w:tcPr>
            <w:tcW w:w="4566" w:type="dxa"/>
          </w:tcPr>
          <w:p w:rsidR="00263B8D" w:rsidRPr="00775C96" w:rsidRDefault="00263B8D" w:rsidP="00DB55F7">
            <w:pPr>
              <w:jc w:val="center"/>
              <w:rPr>
                <w:noProof/>
              </w:rPr>
            </w:pPr>
            <w:r w:rsidRPr="00775C96">
              <w:rPr>
                <w:noProof/>
              </w:rPr>
              <w:drawing>
                <wp:inline distT="0" distB="0" distL="0" distR="0" wp14:anchorId="3D88A467" wp14:editId="3E17CF2C">
                  <wp:extent cx="2293143" cy="2088359"/>
                  <wp:effectExtent l="0" t="0" r="12065"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3B8D" w:rsidRPr="00775C96" w:rsidRDefault="00263B8D" w:rsidP="00DB55F7">
            <w:pPr>
              <w:jc w:val="center"/>
              <w:rPr>
                <w:rFonts w:ascii="Arial" w:eastAsia="Times New Roman" w:hAnsi="Arial"/>
                <w:szCs w:val="27"/>
              </w:rPr>
            </w:pPr>
            <w:r w:rsidRPr="00775C96">
              <w:rPr>
                <w:noProof/>
              </w:rPr>
              <w:t>a</w:t>
            </w:r>
          </w:p>
        </w:tc>
        <w:tc>
          <w:tcPr>
            <w:tcW w:w="4784" w:type="dxa"/>
          </w:tcPr>
          <w:p w:rsidR="00263B8D" w:rsidRPr="00775C96" w:rsidRDefault="00263B8D" w:rsidP="00DB55F7">
            <w:pPr>
              <w:jc w:val="center"/>
              <w:rPr>
                <w:noProof/>
              </w:rPr>
            </w:pPr>
            <w:r w:rsidRPr="00775C96">
              <w:rPr>
                <w:noProof/>
              </w:rPr>
              <w:drawing>
                <wp:inline distT="0" distB="0" distL="0" distR="0" wp14:anchorId="327396F6" wp14:editId="17733C41">
                  <wp:extent cx="2537777" cy="2090420"/>
                  <wp:effectExtent l="0" t="0" r="1524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3B8D" w:rsidRPr="00775C96" w:rsidRDefault="00263B8D" w:rsidP="00DB55F7">
            <w:pPr>
              <w:jc w:val="center"/>
              <w:rPr>
                <w:rFonts w:ascii="Arial" w:eastAsia="Times New Roman" w:hAnsi="Arial"/>
                <w:szCs w:val="27"/>
              </w:rPr>
            </w:pPr>
            <w:r w:rsidRPr="00775C96">
              <w:rPr>
                <w:noProof/>
              </w:rPr>
              <w:t>b</w:t>
            </w:r>
          </w:p>
        </w:tc>
      </w:tr>
    </w:tbl>
    <w:p w:rsidR="00263B8D" w:rsidRPr="00775C96" w:rsidRDefault="00263B8D" w:rsidP="00263B8D">
      <w:pPr>
        <w:jc w:val="center"/>
        <w:rPr>
          <w:rFonts w:ascii="Arial" w:eastAsia="Times New Roman" w:hAnsi="Arial"/>
          <w:szCs w:val="27"/>
        </w:rPr>
      </w:pPr>
      <w:r w:rsidRPr="00775C96">
        <w:rPr>
          <w:rFonts w:ascii="Arial" w:eastAsia="Times New Roman" w:hAnsi="Arial"/>
          <w:szCs w:val="27"/>
        </w:rPr>
        <w:t>Figure 2: A more realistic example of stock-flow concepts in infectious diseases</w:t>
      </w:r>
    </w:p>
    <w:p w:rsidR="00263B8D" w:rsidRDefault="00263B8D" w:rsidP="00263B8D">
      <w:pPr>
        <w:rPr>
          <w:rFonts w:ascii="Arial" w:eastAsia="Times New Roman" w:hAnsi="Arial"/>
          <w:szCs w:val="27"/>
        </w:rPr>
      </w:pPr>
    </w:p>
    <w:p w:rsidR="00263B8D" w:rsidRPr="00263B8D" w:rsidRDefault="00263B8D" w:rsidP="00263B8D">
      <w:pPr>
        <w:rPr>
          <w:sz w:val="28"/>
          <w:szCs w:val="28"/>
        </w:rPr>
      </w:pPr>
    </w:p>
    <w:p w:rsidR="00263B8D" w:rsidRPr="00263B8D" w:rsidRDefault="00263B8D" w:rsidP="00263B8D">
      <w:pPr>
        <w:rPr>
          <w:rFonts w:ascii="Arial Bold" w:eastAsia="Times New Roman" w:hAnsi="Arial Bold"/>
          <w:b/>
          <w:bCs/>
          <w:sz w:val="28"/>
          <w:szCs w:val="28"/>
        </w:rPr>
      </w:pPr>
      <w:r>
        <w:rPr>
          <w:rFonts w:ascii="Arial Bold" w:eastAsia="Times New Roman" w:hAnsi="Arial Bold"/>
          <w:b/>
          <w:bCs/>
          <w:sz w:val="28"/>
          <w:szCs w:val="28"/>
        </w:rPr>
        <w:t>Student Team Challenge #3</w:t>
      </w:r>
    </w:p>
    <w:tbl>
      <w:tblPr>
        <w:tblStyle w:val="TableGrid"/>
        <w:tblW w:w="11844" w:type="dxa"/>
        <w:tblInd w:w="-1512" w:type="dxa"/>
        <w:tblLook w:val="04A0" w:firstRow="1" w:lastRow="0" w:firstColumn="1" w:lastColumn="0" w:noHBand="0" w:noVBand="1"/>
      </w:tblPr>
      <w:tblGrid>
        <w:gridCol w:w="5829"/>
        <w:gridCol w:w="6329"/>
      </w:tblGrid>
      <w:tr w:rsidR="00263B8D" w:rsidRPr="00F17B2E" w:rsidTr="00DB55F7">
        <w:tc>
          <w:tcPr>
            <w:tcW w:w="6768" w:type="dxa"/>
          </w:tcPr>
          <w:p w:rsidR="00263B8D" w:rsidRDefault="00DB55F7" w:rsidP="00DB55F7">
            <w:pPr>
              <w:ind w:left="-270" w:firstLine="90"/>
              <w:rPr>
                <w:noProof/>
              </w:rPr>
            </w:pPr>
            <w:r>
              <w:rPr>
                <w:noProof/>
              </w:rPr>
              <w:drawing>
                <wp:inline distT="0" distB="0" distL="0" distR="0" wp14:anchorId="1FF909B4" wp14:editId="2FF606D9">
                  <wp:extent cx="3736300" cy="2726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6925" cy="2726723"/>
                          </a:xfrm>
                          <a:prstGeom prst="rect">
                            <a:avLst/>
                          </a:prstGeom>
                          <a:noFill/>
                        </pic:spPr>
                      </pic:pic>
                    </a:graphicData>
                  </a:graphic>
                </wp:inline>
              </w:drawing>
            </w:r>
          </w:p>
          <w:p w:rsidR="00263B8D" w:rsidRPr="00F17B2E" w:rsidRDefault="00263B8D" w:rsidP="00DB55F7">
            <w:pPr>
              <w:rPr>
                <w:rFonts w:ascii="Arial" w:eastAsia="Times New Roman" w:hAnsi="Arial"/>
                <w:sz w:val="20"/>
                <w:szCs w:val="27"/>
              </w:rPr>
            </w:pPr>
            <w:proofErr w:type="gramStart"/>
            <w:r w:rsidRPr="00F17B2E">
              <w:rPr>
                <w:rFonts w:ascii="Arial" w:eastAsia="Times New Roman" w:hAnsi="Arial"/>
                <w:sz w:val="20"/>
                <w:szCs w:val="27"/>
              </w:rPr>
              <w:t>a</w:t>
            </w:r>
            <w:proofErr w:type="gramEnd"/>
            <w:r w:rsidRPr="00F17B2E">
              <w:rPr>
                <w:rFonts w:ascii="Arial" w:eastAsia="Times New Roman" w:hAnsi="Arial"/>
                <w:sz w:val="20"/>
                <w:szCs w:val="27"/>
              </w:rPr>
              <w:t xml:space="preserve">: flows: daily new infection (inflow), daily death and daily recovery (outflows) </w:t>
            </w:r>
          </w:p>
        </w:tc>
        <w:tc>
          <w:tcPr>
            <w:tcW w:w="5076" w:type="dxa"/>
          </w:tcPr>
          <w:p w:rsidR="00263B8D" w:rsidRDefault="00DB55F7" w:rsidP="00DB55F7">
            <w:pPr>
              <w:tabs>
                <w:tab w:val="left" w:pos="6552"/>
              </w:tabs>
              <w:ind w:left="-87" w:firstLine="87"/>
              <w:rPr>
                <w:noProof/>
              </w:rPr>
            </w:pPr>
            <w:r>
              <w:rPr>
                <w:noProof/>
              </w:rPr>
              <w:drawing>
                <wp:inline distT="0" distB="0" distL="0" distR="0" wp14:anchorId="0C717F1D" wp14:editId="79262B90">
                  <wp:extent cx="3927465" cy="272626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820" cy="2729290"/>
                          </a:xfrm>
                          <a:prstGeom prst="rect">
                            <a:avLst/>
                          </a:prstGeom>
                          <a:noFill/>
                        </pic:spPr>
                      </pic:pic>
                    </a:graphicData>
                  </a:graphic>
                </wp:inline>
              </w:drawing>
            </w:r>
          </w:p>
          <w:p w:rsidR="00263B8D" w:rsidRPr="00F17B2E" w:rsidRDefault="00263B8D" w:rsidP="00DB55F7">
            <w:pPr>
              <w:rPr>
                <w:rFonts w:ascii="Arial" w:eastAsia="Times New Roman" w:hAnsi="Arial"/>
                <w:sz w:val="20"/>
                <w:szCs w:val="27"/>
              </w:rPr>
            </w:pPr>
            <w:proofErr w:type="gramStart"/>
            <w:r w:rsidRPr="00F17B2E">
              <w:rPr>
                <w:rFonts w:ascii="Arial" w:eastAsia="Times New Roman" w:hAnsi="Arial"/>
                <w:sz w:val="20"/>
                <w:szCs w:val="27"/>
              </w:rPr>
              <w:t>b</w:t>
            </w:r>
            <w:proofErr w:type="gramEnd"/>
            <w:r w:rsidRPr="00F17B2E">
              <w:rPr>
                <w:rFonts w:ascii="Arial" w:eastAsia="Times New Roman" w:hAnsi="Arial"/>
                <w:sz w:val="20"/>
                <w:szCs w:val="27"/>
              </w:rPr>
              <w:t>: same as a, with one graph for total of daily death and recovery (outflow) pointing to the first date at which inflow=outflow</w:t>
            </w:r>
          </w:p>
        </w:tc>
      </w:tr>
    </w:tbl>
    <w:p w:rsidR="00263B8D" w:rsidRDefault="00263B8D"/>
    <w:p w:rsidR="00263B8D" w:rsidRDefault="00263B8D">
      <w:pPr>
        <w:rPr>
          <w:rFonts w:ascii="Arial" w:eastAsia="Times New Roman" w:hAnsi="Arial"/>
          <w:szCs w:val="27"/>
        </w:rPr>
      </w:pPr>
      <w:r>
        <w:rPr>
          <w:rFonts w:ascii="Arial" w:eastAsia="Times New Roman" w:hAnsi="Arial"/>
          <w:szCs w:val="27"/>
        </w:rPr>
        <w:t>This is the daily t</w:t>
      </w:r>
      <w:r w:rsidR="00DB55F7">
        <w:rPr>
          <w:rFonts w:ascii="Arial" w:eastAsia="Times New Roman" w:hAnsi="Arial"/>
          <w:szCs w:val="27"/>
        </w:rPr>
        <w:t>rend of infections from the 2020</w:t>
      </w:r>
      <w:bookmarkStart w:id="0" w:name="_GoBack"/>
      <w:bookmarkEnd w:id="0"/>
      <w:r>
        <w:rPr>
          <w:rFonts w:ascii="Arial" w:eastAsia="Times New Roman" w:hAnsi="Arial"/>
          <w:szCs w:val="27"/>
        </w:rPr>
        <w:t xml:space="preserve"> coronavirus in Italy. At the time of designing this challnege, the disease was still spreading.</w:t>
      </w:r>
    </w:p>
    <w:p w:rsidR="00263B8D" w:rsidRDefault="00263B8D" w:rsidP="00263B8D">
      <w:pPr>
        <w:rPr>
          <w:rFonts w:ascii="Arial" w:eastAsia="Times New Roman" w:hAnsi="Arial"/>
          <w:szCs w:val="27"/>
        </w:rPr>
      </w:pPr>
      <w:r w:rsidRPr="0051401D">
        <w:rPr>
          <w:rFonts w:ascii="Arial Bold" w:eastAsia="Times New Roman" w:hAnsi="Arial Bold"/>
          <w:b/>
          <w:bCs/>
        </w:rPr>
        <w:t>The questions are: What is the cumulative number of Infected and what is the cumulative number of Recovered. We unfortunately had death too. What is the cumulative number of deaths? Plot these variables over time.</w:t>
      </w:r>
      <w:r>
        <w:rPr>
          <w:rFonts w:ascii="Arial" w:eastAsia="Times New Roman" w:hAnsi="Arial"/>
          <w:szCs w:val="27"/>
        </w:rPr>
        <w:t xml:space="preserve"> When did we pass the peak of infection (the maximum point in current infected)? You can use the graph and draw current infected. Note that since there is death too, outflow is daily recovery plus daily death. Can you tell that without even drawing the current infected graph? Yes! Hint: maximum of the stock should be on one of the points that inflow=outflow! </w:t>
      </w:r>
    </w:p>
    <w:p w:rsidR="00263B8D" w:rsidRDefault="00263B8D"/>
    <w:p w:rsidR="00263B8D" w:rsidRDefault="00263B8D"/>
    <w:p w:rsidR="00263B8D" w:rsidRDefault="00263B8D"/>
    <w:p w:rsidR="00263B8D" w:rsidRDefault="00263B8D"/>
    <w:p w:rsidR="00263B8D" w:rsidRDefault="00263B8D"/>
    <w:sectPr w:rsidR="00263B8D" w:rsidSect="00263B8D">
      <w:pgSz w:w="12240" w:h="15840"/>
      <w:pgMar w:top="36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8D"/>
    <w:rsid w:val="00263B8D"/>
    <w:rsid w:val="005D6E1C"/>
    <w:rsid w:val="006A7AE3"/>
    <w:rsid w:val="00DB55F7"/>
    <w:rsid w:val="00E16434"/>
    <w:rsid w:val="00E82C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8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B8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8D"/>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8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B8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8D"/>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Simple%20S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440301804118"/>
          <c:y val="0.0668946287491758"/>
          <c:w val="0.638384522901537"/>
          <c:h val="0.679796433467618"/>
        </c:manualLayout>
      </c:layout>
      <c:scatterChart>
        <c:scatterStyle val="lineMarker"/>
        <c:varyColors val="0"/>
        <c:ser>
          <c:idx val="0"/>
          <c:order val="0"/>
          <c:tx>
            <c:strRef>
              <c:f>Sheet1!$B$1</c:f>
              <c:strCache>
                <c:ptCount val="1"/>
                <c:pt idx="0">
                  <c:v>New infected</c:v>
                </c:pt>
              </c:strCache>
            </c:strRef>
          </c:tx>
          <c:spPr>
            <a:ln w="28575" cap="rnd">
              <a:solidFill>
                <a:schemeClr val="tx1"/>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Sheet1!$B$2:$B$32</c:f>
              <c:numCache>
                <c:formatCode>General</c:formatCode>
                <c:ptCount val="31"/>
                <c:pt idx="0">
                  <c:v>100.0</c:v>
                </c:pt>
                <c:pt idx="1">
                  <c:v>100.0</c:v>
                </c:pt>
                <c:pt idx="2">
                  <c:v>100.0</c:v>
                </c:pt>
                <c:pt idx="3">
                  <c:v>100.0</c:v>
                </c:pt>
                <c:pt idx="4">
                  <c:v>100.0</c:v>
                </c:pt>
                <c:pt idx="5">
                  <c:v>100.0</c:v>
                </c:pt>
                <c:pt idx="6">
                  <c:v>100.0</c:v>
                </c:pt>
                <c:pt idx="7">
                  <c:v>100.0</c:v>
                </c:pt>
                <c:pt idx="8">
                  <c:v>100.0</c:v>
                </c:pt>
                <c:pt idx="9">
                  <c:v>100.0</c:v>
                </c:pt>
                <c:pt idx="10">
                  <c:v>100.0</c:v>
                </c:pt>
                <c:pt idx="11">
                  <c:v>100.0</c:v>
                </c:pt>
                <c:pt idx="12">
                  <c:v>100.0</c:v>
                </c:pt>
                <c:pt idx="13">
                  <c:v>100.0</c:v>
                </c:pt>
                <c:pt idx="14">
                  <c:v>100.0</c:v>
                </c:pt>
                <c:pt idx="15">
                  <c:v>100.0</c:v>
                </c:pt>
                <c:pt idx="16">
                  <c:v>100.0</c:v>
                </c:pt>
                <c:pt idx="17">
                  <c:v>100.0</c:v>
                </c:pt>
                <c:pt idx="18">
                  <c:v>100.0</c:v>
                </c:pt>
                <c:pt idx="19">
                  <c:v>100.0</c:v>
                </c:pt>
                <c:pt idx="20">
                  <c:v>100.0</c:v>
                </c:pt>
                <c:pt idx="21">
                  <c:v>100.0</c:v>
                </c:pt>
                <c:pt idx="22">
                  <c:v>100.0</c:v>
                </c:pt>
                <c:pt idx="23">
                  <c:v>100.0</c:v>
                </c:pt>
                <c:pt idx="24">
                  <c:v>100.0</c:v>
                </c:pt>
                <c:pt idx="25">
                  <c:v>100.0</c:v>
                </c:pt>
                <c:pt idx="26">
                  <c:v>100.0</c:v>
                </c:pt>
                <c:pt idx="27">
                  <c:v>100.0</c:v>
                </c:pt>
                <c:pt idx="28">
                  <c:v>100.0</c:v>
                </c:pt>
                <c:pt idx="29">
                  <c:v>100.0</c:v>
                </c:pt>
                <c:pt idx="30">
                  <c:v>100.0</c:v>
                </c:pt>
              </c:numCache>
            </c:numRef>
          </c:yVal>
          <c:smooth val="0"/>
        </c:ser>
        <c:ser>
          <c:idx val="1"/>
          <c:order val="1"/>
          <c:tx>
            <c:strRef>
              <c:f>Sheet1!$C$1</c:f>
              <c:strCache>
                <c:ptCount val="1"/>
                <c:pt idx="0">
                  <c:v>Daily recovery</c:v>
                </c:pt>
              </c:strCache>
            </c:strRef>
          </c:tx>
          <c:spPr>
            <a:ln w="19050" cap="rnd">
              <a:solidFill>
                <a:srgbClr val="00B05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Sheet1!$C$2:$C$32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50.0</c:v>
                </c:pt>
                <c:pt idx="12">
                  <c:v>50.0</c:v>
                </c:pt>
                <c:pt idx="13">
                  <c:v>50.0</c:v>
                </c:pt>
                <c:pt idx="14">
                  <c:v>50.0</c:v>
                </c:pt>
                <c:pt idx="15">
                  <c:v>50.0</c:v>
                </c:pt>
                <c:pt idx="16">
                  <c:v>50.0</c:v>
                </c:pt>
                <c:pt idx="17">
                  <c:v>50.0</c:v>
                </c:pt>
                <c:pt idx="18">
                  <c:v>50.0</c:v>
                </c:pt>
                <c:pt idx="19">
                  <c:v>50.0</c:v>
                </c:pt>
                <c:pt idx="20">
                  <c:v>50.0</c:v>
                </c:pt>
                <c:pt idx="21">
                  <c:v>50.0</c:v>
                </c:pt>
                <c:pt idx="22">
                  <c:v>50.0</c:v>
                </c:pt>
                <c:pt idx="23">
                  <c:v>50.0</c:v>
                </c:pt>
                <c:pt idx="24">
                  <c:v>50.0</c:v>
                </c:pt>
                <c:pt idx="25">
                  <c:v>50.0</c:v>
                </c:pt>
                <c:pt idx="26">
                  <c:v>50.0</c:v>
                </c:pt>
                <c:pt idx="27">
                  <c:v>50.0</c:v>
                </c:pt>
                <c:pt idx="28">
                  <c:v>50.0</c:v>
                </c:pt>
                <c:pt idx="29">
                  <c:v>50.0</c:v>
                </c:pt>
                <c:pt idx="30">
                  <c:v>50.0</c:v>
                </c:pt>
              </c:numCache>
            </c:numRef>
          </c:yVal>
          <c:smooth val="0"/>
        </c:ser>
        <c:dLbls>
          <c:showLegendKey val="0"/>
          <c:showVal val="0"/>
          <c:showCatName val="0"/>
          <c:showSerName val="0"/>
          <c:showPercent val="0"/>
          <c:showBubbleSize val="0"/>
        </c:dLbls>
        <c:axId val="-2129327864"/>
        <c:axId val="-2132419816"/>
      </c:scatterChart>
      <c:valAx>
        <c:axId val="-2129327864"/>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419816"/>
        <c:crosses val="autoZero"/>
        <c:crossBetween val="midCat"/>
      </c:valAx>
      <c:valAx>
        <c:axId val="-2132419816"/>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 per day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327864"/>
        <c:crosses val="autoZero"/>
        <c:crossBetween val="midCat"/>
      </c:valAx>
      <c:spPr>
        <a:noFill/>
        <a:ln>
          <a:noFill/>
        </a:ln>
        <a:effectLst/>
      </c:spPr>
    </c:plotArea>
    <c:legend>
      <c:legendPos val="b"/>
      <c:layout>
        <c:manualLayout>
          <c:xMode val="edge"/>
          <c:yMode val="edge"/>
          <c:x val="0.294999483241996"/>
          <c:y val="0.0960637212015165"/>
          <c:w val="0.55953335662015"/>
          <c:h val="0.177084426946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82962836792"/>
          <c:y val="0.0668185109755503"/>
          <c:w val="0.61353120835644"/>
          <c:h val="0.748496463928048"/>
        </c:manualLayout>
      </c:layout>
      <c:scatterChart>
        <c:scatterStyle val="lineMarker"/>
        <c:varyColors val="0"/>
        <c:ser>
          <c:idx val="1"/>
          <c:order val="0"/>
          <c:tx>
            <c:strRef>
              <c:f>Sheet1!$F$1</c:f>
              <c:strCache>
                <c:ptCount val="1"/>
                <c:pt idx="0">
                  <c:v>Cumulative infected</c:v>
                </c:pt>
              </c:strCache>
            </c:strRef>
          </c:tx>
          <c:spPr>
            <a:ln w="28575" cap="rnd">
              <a:solidFill>
                <a:sysClr val="windowText" lastClr="00000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Sheet1!$F$2:$F$32</c:f>
              <c:numCache>
                <c:formatCode>General</c:formatCode>
                <c:ptCount val="31"/>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pt idx="15">
                  <c:v>1600.0</c:v>
                </c:pt>
                <c:pt idx="16">
                  <c:v>1700.0</c:v>
                </c:pt>
                <c:pt idx="17">
                  <c:v>1800.0</c:v>
                </c:pt>
                <c:pt idx="18">
                  <c:v>1900.0</c:v>
                </c:pt>
                <c:pt idx="19">
                  <c:v>2000.0</c:v>
                </c:pt>
                <c:pt idx="20">
                  <c:v>2100.0</c:v>
                </c:pt>
                <c:pt idx="21">
                  <c:v>2200.0</c:v>
                </c:pt>
                <c:pt idx="22">
                  <c:v>2300.0</c:v>
                </c:pt>
                <c:pt idx="23">
                  <c:v>2400.0</c:v>
                </c:pt>
                <c:pt idx="24">
                  <c:v>2500.0</c:v>
                </c:pt>
                <c:pt idx="25">
                  <c:v>2600.0</c:v>
                </c:pt>
                <c:pt idx="26">
                  <c:v>2700.0</c:v>
                </c:pt>
                <c:pt idx="27">
                  <c:v>2800.0</c:v>
                </c:pt>
                <c:pt idx="28">
                  <c:v>2900.0</c:v>
                </c:pt>
                <c:pt idx="29">
                  <c:v>3000.0</c:v>
                </c:pt>
                <c:pt idx="30">
                  <c:v>3100.0</c:v>
                </c:pt>
              </c:numCache>
            </c:numRef>
          </c:yVal>
          <c:smooth val="0"/>
        </c:ser>
        <c:ser>
          <c:idx val="2"/>
          <c:order val="1"/>
          <c:tx>
            <c:strRef>
              <c:f>Sheet1!$G$1</c:f>
              <c:strCache>
                <c:ptCount val="1"/>
                <c:pt idx="0">
                  <c:v>Cumulative recovered</c:v>
                </c:pt>
              </c:strCache>
            </c:strRef>
          </c:tx>
          <c:spPr>
            <a:ln w="28575" cap="rnd">
              <a:solidFill>
                <a:srgbClr val="00B05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Sheet1!$G$2:$G$32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100.0</c:v>
                </c:pt>
                <c:pt idx="12">
                  <c:v>150.0</c:v>
                </c:pt>
                <c:pt idx="13">
                  <c:v>200.0</c:v>
                </c:pt>
                <c:pt idx="14">
                  <c:v>250.0</c:v>
                </c:pt>
                <c:pt idx="15">
                  <c:v>300.0</c:v>
                </c:pt>
                <c:pt idx="16">
                  <c:v>350.0</c:v>
                </c:pt>
                <c:pt idx="17">
                  <c:v>400.0</c:v>
                </c:pt>
                <c:pt idx="18">
                  <c:v>450.0</c:v>
                </c:pt>
                <c:pt idx="19">
                  <c:v>500.0</c:v>
                </c:pt>
                <c:pt idx="20">
                  <c:v>550.0</c:v>
                </c:pt>
                <c:pt idx="21">
                  <c:v>600.0</c:v>
                </c:pt>
                <c:pt idx="22">
                  <c:v>650.0</c:v>
                </c:pt>
                <c:pt idx="23">
                  <c:v>700.0</c:v>
                </c:pt>
                <c:pt idx="24">
                  <c:v>750.0</c:v>
                </c:pt>
                <c:pt idx="25">
                  <c:v>800.0</c:v>
                </c:pt>
                <c:pt idx="26">
                  <c:v>850.0</c:v>
                </c:pt>
                <c:pt idx="27">
                  <c:v>900.0</c:v>
                </c:pt>
                <c:pt idx="28">
                  <c:v>950.0</c:v>
                </c:pt>
                <c:pt idx="29">
                  <c:v>1000.0</c:v>
                </c:pt>
                <c:pt idx="30">
                  <c:v>1050.0</c:v>
                </c:pt>
              </c:numCache>
            </c:numRef>
          </c:yVal>
          <c:smooth val="0"/>
        </c:ser>
        <c:ser>
          <c:idx val="0"/>
          <c:order val="2"/>
          <c:tx>
            <c:strRef>
              <c:f>Sheet1!$E$1</c:f>
              <c:strCache>
                <c:ptCount val="1"/>
                <c:pt idx="0">
                  <c:v>Current infected</c:v>
                </c:pt>
              </c:strCache>
            </c:strRef>
          </c:tx>
          <c:spPr>
            <a:ln w="19050" cap="rnd">
              <a:solidFill>
                <a:srgbClr val="C00000"/>
              </a:solidFill>
              <a:prstDash val="dashDot"/>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Sheet1!$E$2:$E$32</c:f>
              <c:numCache>
                <c:formatCode>General</c:formatCode>
                <c:ptCount val="31"/>
                <c:pt idx="0">
                  <c:v>100.0</c:v>
                </c:pt>
                <c:pt idx="1">
                  <c:v>200.0</c:v>
                </c:pt>
                <c:pt idx="2">
                  <c:v>300.0</c:v>
                </c:pt>
                <c:pt idx="3">
                  <c:v>400.0</c:v>
                </c:pt>
                <c:pt idx="4">
                  <c:v>500.0</c:v>
                </c:pt>
                <c:pt idx="5">
                  <c:v>600.0</c:v>
                </c:pt>
                <c:pt idx="6">
                  <c:v>700.0</c:v>
                </c:pt>
                <c:pt idx="7">
                  <c:v>800.0</c:v>
                </c:pt>
                <c:pt idx="8">
                  <c:v>900.0</c:v>
                </c:pt>
                <c:pt idx="9">
                  <c:v>1000.0</c:v>
                </c:pt>
                <c:pt idx="10">
                  <c:v>1050.0</c:v>
                </c:pt>
                <c:pt idx="11">
                  <c:v>1100.0</c:v>
                </c:pt>
                <c:pt idx="12">
                  <c:v>1150.0</c:v>
                </c:pt>
                <c:pt idx="13">
                  <c:v>1200.0</c:v>
                </c:pt>
                <c:pt idx="14">
                  <c:v>1250.0</c:v>
                </c:pt>
                <c:pt idx="15">
                  <c:v>1300.0</c:v>
                </c:pt>
                <c:pt idx="16">
                  <c:v>1350.0</c:v>
                </c:pt>
                <c:pt idx="17">
                  <c:v>1400.0</c:v>
                </c:pt>
                <c:pt idx="18">
                  <c:v>1450.0</c:v>
                </c:pt>
                <c:pt idx="19">
                  <c:v>1500.0</c:v>
                </c:pt>
                <c:pt idx="20">
                  <c:v>1550.0</c:v>
                </c:pt>
                <c:pt idx="21">
                  <c:v>1600.0</c:v>
                </c:pt>
                <c:pt idx="22">
                  <c:v>1650.0</c:v>
                </c:pt>
                <c:pt idx="23">
                  <c:v>1700.0</c:v>
                </c:pt>
                <c:pt idx="24">
                  <c:v>1750.0</c:v>
                </c:pt>
                <c:pt idx="25">
                  <c:v>1800.0</c:v>
                </c:pt>
                <c:pt idx="26">
                  <c:v>1850.0</c:v>
                </c:pt>
                <c:pt idx="27">
                  <c:v>1900.0</c:v>
                </c:pt>
                <c:pt idx="28">
                  <c:v>1950.0</c:v>
                </c:pt>
                <c:pt idx="29">
                  <c:v>2000.0</c:v>
                </c:pt>
                <c:pt idx="30">
                  <c:v>2050.0</c:v>
                </c:pt>
              </c:numCache>
            </c:numRef>
          </c:yVal>
          <c:smooth val="0"/>
        </c:ser>
        <c:dLbls>
          <c:showLegendKey val="0"/>
          <c:showVal val="0"/>
          <c:showCatName val="0"/>
          <c:showSerName val="0"/>
          <c:showPercent val="0"/>
          <c:showBubbleSize val="0"/>
        </c:dLbls>
        <c:axId val="-2128946712"/>
        <c:axId val="-2128774408"/>
      </c:scatterChart>
      <c:valAx>
        <c:axId val="-2128946712"/>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774408"/>
        <c:crosses val="autoZero"/>
        <c:crossBetween val="midCat"/>
      </c:valAx>
      <c:valAx>
        <c:axId val="-2128774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a:t>
                </a:r>
              </a:p>
            </c:rich>
          </c:tx>
          <c:layout>
            <c:manualLayout>
              <c:xMode val="edge"/>
              <c:yMode val="edge"/>
              <c:x val="0.0654392120508036"/>
              <c:y val="0.3375886185551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946712"/>
        <c:crosses val="autoZero"/>
        <c:crossBetween val="midCat"/>
      </c:valAx>
      <c:spPr>
        <a:noFill/>
        <a:ln>
          <a:noFill/>
        </a:ln>
        <a:effectLst/>
      </c:spPr>
    </c:plotArea>
    <c:legend>
      <c:legendPos val="b"/>
      <c:layout>
        <c:manualLayout>
          <c:xMode val="edge"/>
          <c:yMode val="edge"/>
          <c:x val="0.281368123952581"/>
          <c:y val="0.0766867967196272"/>
          <c:w val="0.630901541827287"/>
          <c:h val="0.267276913702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440301804118"/>
          <c:y val="0.0668946287491758"/>
          <c:w val="0.638384522901537"/>
          <c:h val="0.679796433467618"/>
        </c:manualLayout>
      </c:layout>
      <c:scatterChart>
        <c:scatterStyle val="lineMarker"/>
        <c:varyColors val="0"/>
        <c:ser>
          <c:idx val="0"/>
          <c:order val="0"/>
          <c:tx>
            <c:strRef>
              <c:f>'Sheet1 (2)'!$B$1</c:f>
              <c:strCache>
                <c:ptCount val="1"/>
                <c:pt idx="0">
                  <c:v>New infected</c:v>
                </c:pt>
              </c:strCache>
            </c:strRef>
          </c:tx>
          <c:spPr>
            <a:ln w="28575" cap="rnd">
              <a:solidFill>
                <a:schemeClr val="tx1"/>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(2)'!$B$2:$B$32</c:f>
              <c:numCache>
                <c:formatCode>General</c:formatCode>
                <c:ptCount val="31"/>
                <c:pt idx="0">
                  <c:v>50.0</c:v>
                </c:pt>
                <c:pt idx="1">
                  <c:v>50.0</c:v>
                </c:pt>
                <c:pt idx="2">
                  <c:v>50.0</c:v>
                </c:pt>
                <c:pt idx="3">
                  <c:v>50.0</c:v>
                </c:pt>
                <c:pt idx="4">
                  <c:v>50.0</c:v>
                </c:pt>
                <c:pt idx="5">
                  <c:v>100.0</c:v>
                </c:pt>
                <c:pt idx="6">
                  <c:v>100.0</c:v>
                </c:pt>
                <c:pt idx="7">
                  <c:v>100.0</c:v>
                </c:pt>
                <c:pt idx="8">
                  <c:v>100.0</c:v>
                </c:pt>
                <c:pt idx="9">
                  <c:v>100.0</c:v>
                </c:pt>
                <c:pt idx="10">
                  <c:v>100.0</c:v>
                </c:pt>
                <c:pt idx="11">
                  <c:v>100.0</c:v>
                </c:pt>
                <c:pt idx="12">
                  <c:v>100.0</c:v>
                </c:pt>
                <c:pt idx="13">
                  <c:v>100.0</c:v>
                </c:pt>
                <c:pt idx="14">
                  <c:v>100.0</c:v>
                </c:pt>
                <c:pt idx="15">
                  <c:v>50.0</c:v>
                </c:pt>
                <c:pt idx="16">
                  <c:v>50.0</c:v>
                </c:pt>
                <c:pt idx="17">
                  <c:v>50.0</c:v>
                </c:pt>
                <c:pt idx="18">
                  <c:v>50.0</c:v>
                </c:pt>
                <c:pt idx="19">
                  <c:v>50.0</c:v>
                </c:pt>
                <c:pt idx="20">
                  <c:v>0.0</c:v>
                </c:pt>
                <c:pt idx="21">
                  <c:v>0.0</c:v>
                </c:pt>
                <c:pt idx="22">
                  <c:v>0.0</c:v>
                </c:pt>
                <c:pt idx="23">
                  <c:v>0.0</c:v>
                </c:pt>
                <c:pt idx="24">
                  <c:v>0.0</c:v>
                </c:pt>
                <c:pt idx="25">
                  <c:v>0.0</c:v>
                </c:pt>
                <c:pt idx="26">
                  <c:v>0.0</c:v>
                </c:pt>
                <c:pt idx="27">
                  <c:v>0.0</c:v>
                </c:pt>
                <c:pt idx="28">
                  <c:v>0.0</c:v>
                </c:pt>
                <c:pt idx="29">
                  <c:v>0.0</c:v>
                </c:pt>
                <c:pt idx="30">
                  <c:v>0.0</c:v>
                </c:pt>
              </c:numCache>
            </c:numRef>
          </c:yVal>
          <c:smooth val="0"/>
        </c:ser>
        <c:ser>
          <c:idx val="1"/>
          <c:order val="1"/>
          <c:tx>
            <c:strRef>
              <c:f>'Sheet1 (2)'!$C$1</c:f>
              <c:strCache>
                <c:ptCount val="1"/>
                <c:pt idx="0">
                  <c:v>Daily recovery</c:v>
                </c:pt>
              </c:strCache>
            </c:strRef>
          </c:tx>
          <c:spPr>
            <a:ln w="19050" cap="rnd">
              <a:solidFill>
                <a:srgbClr val="00B05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(2)'!$C$2:$C$32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50.0</c:v>
                </c:pt>
                <c:pt idx="12">
                  <c:v>50.0</c:v>
                </c:pt>
                <c:pt idx="13">
                  <c:v>50.0</c:v>
                </c:pt>
                <c:pt idx="14">
                  <c:v>50.0</c:v>
                </c:pt>
                <c:pt idx="15">
                  <c:v>100.0</c:v>
                </c:pt>
                <c:pt idx="16">
                  <c:v>100.0</c:v>
                </c:pt>
                <c:pt idx="17">
                  <c:v>100.0</c:v>
                </c:pt>
                <c:pt idx="18">
                  <c:v>100.0</c:v>
                </c:pt>
                <c:pt idx="19">
                  <c:v>100.0</c:v>
                </c:pt>
                <c:pt idx="20">
                  <c:v>100.0</c:v>
                </c:pt>
                <c:pt idx="21">
                  <c:v>100.0</c:v>
                </c:pt>
                <c:pt idx="22">
                  <c:v>100.0</c:v>
                </c:pt>
                <c:pt idx="23">
                  <c:v>100.0</c:v>
                </c:pt>
                <c:pt idx="24">
                  <c:v>100.0</c:v>
                </c:pt>
                <c:pt idx="25">
                  <c:v>50.0</c:v>
                </c:pt>
                <c:pt idx="26">
                  <c:v>50.0</c:v>
                </c:pt>
                <c:pt idx="27">
                  <c:v>50.0</c:v>
                </c:pt>
                <c:pt idx="28">
                  <c:v>50.0</c:v>
                </c:pt>
                <c:pt idx="29">
                  <c:v>50.0</c:v>
                </c:pt>
                <c:pt idx="30">
                  <c:v>0.0</c:v>
                </c:pt>
              </c:numCache>
            </c:numRef>
          </c:yVal>
          <c:smooth val="0"/>
        </c:ser>
        <c:dLbls>
          <c:showLegendKey val="0"/>
          <c:showVal val="0"/>
          <c:showCatName val="0"/>
          <c:showSerName val="0"/>
          <c:showPercent val="0"/>
          <c:showBubbleSize val="0"/>
        </c:dLbls>
        <c:axId val="-2128709496"/>
        <c:axId val="-2129117384"/>
      </c:scatterChart>
      <c:valAx>
        <c:axId val="-2128709496"/>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117384"/>
        <c:crosses val="autoZero"/>
        <c:crossBetween val="midCat"/>
      </c:valAx>
      <c:valAx>
        <c:axId val="-2129117384"/>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 per day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709496"/>
        <c:crosses val="autoZero"/>
        <c:crossBetween val="midCat"/>
      </c:valAx>
      <c:spPr>
        <a:noFill/>
        <a:ln>
          <a:noFill/>
        </a:ln>
        <a:effectLst/>
      </c:spPr>
    </c:plotArea>
    <c:legend>
      <c:legendPos val="b"/>
      <c:layout>
        <c:manualLayout>
          <c:xMode val="edge"/>
          <c:yMode val="edge"/>
          <c:x val="0.294999483241996"/>
          <c:y val="0.0960637212015165"/>
          <c:w val="0.55953335662015"/>
          <c:h val="0.177084426946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82962836792"/>
          <c:y val="0.0668185109755503"/>
          <c:w val="0.61353120835644"/>
          <c:h val="0.748496463928048"/>
        </c:manualLayout>
      </c:layout>
      <c:scatterChart>
        <c:scatterStyle val="lineMarker"/>
        <c:varyColors val="0"/>
        <c:ser>
          <c:idx val="1"/>
          <c:order val="0"/>
          <c:tx>
            <c:strRef>
              <c:f>'Sheet1 (2)'!$F$1</c:f>
              <c:strCache>
                <c:ptCount val="1"/>
                <c:pt idx="0">
                  <c:v>Cumulative infected</c:v>
                </c:pt>
              </c:strCache>
            </c:strRef>
          </c:tx>
          <c:spPr>
            <a:ln w="28575" cap="rnd">
              <a:solidFill>
                <a:sysClr val="windowText" lastClr="00000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(2)'!$F$2:$F$32</c:f>
              <c:numCache>
                <c:formatCode>General</c:formatCode>
                <c:ptCount val="31"/>
                <c:pt idx="0">
                  <c:v>50.0</c:v>
                </c:pt>
                <c:pt idx="1">
                  <c:v>100.0</c:v>
                </c:pt>
                <c:pt idx="2">
                  <c:v>150.0</c:v>
                </c:pt>
                <c:pt idx="3">
                  <c:v>200.0</c:v>
                </c:pt>
                <c:pt idx="4">
                  <c:v>250.0</c:v>
                </c:pt>
                <c:pt idx="5">
                  <c:v>350.0</c:v>
                </c:pt>
                <c:pt idx="6">
                  <c:v>450.0</c:v>
                </c:pt>
                <c:pt idx="7">
                  <c:v>550.0</c:v>
                </c:pt>
                <c:pt idx="8">
                  <c:v>650.0</c:v>
                </c:pt>
                <c:pt idx="9">
                  <c:v>750.0</c:v>
                </c:pt>
                <c:pt idx="10">
                  <c:v>850.0</c:v>
                </c:pt>
                <c:pt idx="11">
                  <c:v>950.0</c:v>
                </c:pt>
                <c:pt idx="12">
                  <c:v>1050.0</c:v>
                </c:pt>
                <c:pt idx="13">
                  <c:v>1150.0</c:v>
                </c:pt>
                <c:pt idx="14">
                  <c:v>1250.0</c:v>
                </c:pt>
                <c:pt idx="15">
                  <c:v>1300.0</c:v>
                </c:pt>
                <c:pt idx="16">
                  <c:v>1350.0</c:v>
                </c:pt>
                <c:pt idx="17">
                  <c:v>1400.0</c:v>
                </c:pt>
                <c:pt idx="18">
                  <c:v>1450.0</c:v>
                </c:pt>
                <c:pt idx="19">
                  <c:v>1500.0</c:v>
                </c:pt>
                <c:pt idx="20">
                  <c:v>1500.0</c:v>
                </c:pt>
                <c:pt idx="21">
                  <c:v>1500.0</c:v>
                </c:pt>
                <c:pt idx="22">
                  <c:v>1500.0</c:v>
                </c:pt>
                <c:pt idx="23">
                  <c:v>1500.0</c:v>
                </c:pt>
                <c:pt idx="24">
                  <c:v>1500.0</c:v>
                </c:pt>
                <c:pt idx="25">
                  <c:v>1500.0</c:v>
                </c:pt>
                <c:pt idx="26">
                  <c:v>1500.0</c:v>
                </c:pt>
                <c:pt idx="27">
                  <c:v>1500.0</c:v>
                </c:pt>
                <c:pt idx="28">
                  <c:v>1500.0</c:v>
                </c:pt>
                <c:pt idx="29">
                  <c:v>1500.0</c:v>
                </c:pt>
                <c:pt idx="30">
                  <c:v>1500.0</c:v>
                </c:pt>
              </c:numCache>
            </c:numRef>
          </c:yVal>
          <c:smooth val="0"/>
        </c:ser>
        <c:ser>
          <c:idx val="2"/>
          <c:order val="1"/>
          <c:tx>
            <c:strRef>
              <c:f>'Sheet1 (2)'!$G$1</c:f>
              <c:strCache>
                <c:ptCount val="1"/>
                <c:pt idx="0">
                  <c:v>Cumulative recovered</c:v>
                </c:pt>
              </c:strCache>
            </c:strRef>
          </c:tx>
          <c:spPr>
            <a:ln w="28575" cap="rnd">
              <a:solidFill>
                <a:srgbClr val="00B05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(2)'!$G$2:$G$32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100.0</c:v>
                </c:pt>
                <c:pt idx="12">
                  <c:v>150.0</c:v>
                </c:pt>
                <c:pt idx="13">
                  <c:v>200.0</c:v>
                </c:pt>
                <c:pt idx="14">
                  <c:v>250.0</c:v>
                </c:pt>
                <c:pt idx="15">
                  <c:v>350.0</c:v>
                </c:pt>
                <c:pt idx="16">
                  <c:v>450.0</c:v>
                </c:pt>
                <c:pt idx="17">
                  <c:v>550.0</c:v>
                </c:pt>
                <c:pt idx="18">
                  <c:v>650.0</c:v>
                </c:pt>
                <c:pt idx="19">
                  <c:v>750.0</c:v>
                </c:pt>
                <c:pt idx="20">
                  <c:v>850.0</c:v>
                </c:pt>
                <c:pt idx="21">
                  <c:v>950.0</c:v>
                </c:pt>
                <c:pt idx="22">
                  <c:v>1050.0</c:v>
                </c:pt>
                <c:pt idx="23">
                  <c:v>1150.0</c:v>
                </c:pt>
                <c:pt idx="24">
                  <c:v>1250.0</c:v>
                </c:pt>
                <c:pt idx="25">
                  <c:v>1300.0</c:v>
                </c:pt>
                <c:pt idx="26">
                  <c:v>1350.0</c:v>
                </c:pt>
                <c:pt idx="27">
                  <c:v>1400.0</c:v>
                </c:pt>
                <c:pt idx="28">
                  <c:v>1450.0</c:v>
                </c:pt>
                <c:pt idx="29">
                  <c:v>1500.0</c:v>
                </c:pt>
                <c:pt idx="30">
                  <c:v>1500.0</c:v>
                </c:pt>
              </c:numCache>
            </c:numRef>
          </c:yVal>
          <c:smooth val="0"/>
        </c:ser>
        <c:ser>
          <c:idx val="0"/>
          <c:order val="2"/>
          <c:tx>
            <c:strRef>
              <c:f>'Sheet1 (2)'!$E$1</c:f>
              <c:strCache>
                <c:ptCount val="1"/>
                <c:pt idx="0">
                  <c:v>Current infected</c:v>
                </c:pt>
              </c:strCache>
            </c:strRef>
          </c:tx>
          <c:spPr>
            <a:ln w="19050" cap="rnd">
              <a:solidFill>
                <a:srgbClr val="C00000"/>
              </a:solidFill>
              <a:prstDash val="dashDot"/>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(2)'!$E$2:$E$32</c:f>
              <c:numCache>
                <c:formatCode>General</c:formatCode>
                <c:ptCount val="31"/>
                <c:pt idx="0">
                  <c:v>50.0</c:v>
                </c:pt>
                <c:pt idx="1">
                  <c:v>100.0</c:v>
                </c:pt>
                <c:pt idx="2">
                  <c:v>150.0</c:v>
                </c:pt>
                <c:pt idx="3">
                  <c:v>200.0</c:v>
                </c:pt>
                <c:pt idx="4">
                  <c:v>250.0</c:v>
                </c:pt>
                <c:pt idx="5">
                  <c:v>350.0</c:v>
                </c:pt>
                <c:pt idx="6">
                  <c:v>450.0</c:v>
                </c:pt>
                <c:pt idx="7">
                  <c:v>550.0</c:v>
                </c:pt>
                <c:pt idx="8">
                  <c:v>650.0</c:v>
                </c:pt>
                <c:pt idx="9">
                  <c:v>750.0</c:v>
                </c:pt>
                <c:pt idx="10">
                  <c:v>800.0</c:v>
                </c:pt>
                <c:pt idx="11">
                  <c:v>850.0</c:v>
                </c:pt>
                <c:pt idx="12">
                  <c:v>900.0</c:v>
                </c:pt>
                <c:pt idx="13">
                  <c:v>950.0</c:v>
                </c:pt>
                <c:pt idx="14">
                  <c:v>1000.0</c:v>
                </c:pt>
                <c:pt idx="15">
                  <c:v>950.0</c:v>
                </c:pt>
                <c:pt idx="16">
                  <c:v>900.0</c:v>
                </c:pt>
                <c:pt idx="17">
                  <c:v>850.0</c:v>
                </c:pt>
                <c:pt idx="18">
                  <c:v>800.0</c:v>
                </c:pt>
                <c:pt idx="19">
                  <c:v>750.0</c:v>
                </c:pt>
                <c:pt idx="20">
                  <c:v>650.0</c:v>
                </c:pt>
                <c:pt idx="21">
                  <c:v>550.0</c:v>
                </c:pt>
                <c:pt idx="22">
                  <c:v>450.0</c:v>
                </c:pt>
                <c:pt idx="23">
                  <c:v>350.0</c:v>
                </c:pt>
                <c:pt idx="24">
                  <c:v>250.0</c:v>
                </c:pt>
                <c:pt idx="25">
                  <c:v>200.0</c:v>
                </c:pt>
                <c:pt idx="26">
                  <c:v>150.0</c:v>
                </c:pt>
                <c:pt idx="27">
                  <c:v>100.0</c:v>
                </c:pt>
                <c:pt idx="28">
                  <c:v>50.0</c:v>
                </c:pt>
                <c:pt idx="29">
                  <c:v>0.0</c:v>
                </c:pt>
                <c:pt idx="30">
                  <c:v>0.0</c:v>
                </c:pt>
              </c:numCache>
            </c:numRef>
          </c:yVal>
          <c:smooth val="0"/>
        </c:ser>
        <c:dLbls>
          <c:showLegendKey val="0"/>
          <c:showVal val="0"/>
          <c:showCatName val="0"/>
          <c:showSerName val="0"/>
          <c:showPercent val="0"/>
          <c:showBubbleSize val="0"/>
        </c:dLbls>
        <c:axId val="-2128944856"/>
        <c:axId val="-2128949048"/>
      </c:scatterChart>
      <c:valAx>
        <c:axId val="-2128944856"/>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949048"/>
        <c:crosses val="autoZero"/>
        <c:crossBetween val="midCat"/>
      </c:valAx>
      <c:valAx>
        <c:axId val="-2128949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944856"/>
        <c:crosses val="autoZero"/>
        <c:crossBetween val="midCat"/>
      </c:valAx>
      <c:spPr>
        <a:noFill/>
        <a:ln>
          <a:noFill/>
        </a:ln>
        <a:effectLst/>
      </c:spPr>
    </c:plotArea>
    <c:legend>
      <c:legendPos val="b"/>
      <c:layout>
        <c:manualLayout>
          <c:xMode val="edge"/>
          <c:yMode val="edge"/>
          <c:x val="0.270303107396441"/>
          <c:y val="0.0645379765422545"/>
          <c:w val="0.630901541827287"/>
          <c:h val="0.188309582549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Macintosh Word</Application>
  <DocSecurity>0</DocSecurity>
  <Lines>16</Lines>
  <Paragraphs>4</Paragraphs>
  <ScaleCrop>false</ScaleCrop>
  <Company>MIT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2020-06-09T15:26:00Z</dcterms:created>
  <dcterms:modified xsi:type="dcterms:W3CDTF">2020-06-09T15:26:00Z</dcterms:modified>
</cp:coreProperties>
</file>